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00E10" w14:textId="77777777" w:rsidR="007E5A61" w:rsidRDefault="007E5A61" w:rsidP="008B2548">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790" w:type="dxa"/>
        <w:tblInd w:w="-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2"/>
        <w:gridCol w:w="10328"/>
      </w:tblGrid>
      <w:tr w:rsidR="007E5A61" w14:paraId="0A2CD65E" w14:textId="77777777">
        <w:tc>
          <w:tcPr>
            <w:tcW w:w="10790" w:type="dxa"/>
            <w:gridSpan w:val="2"/>
          </w:tcPr>
          <w:p w14:paraId="39A85760" w14:textId="42A231BD" w:rsidR="007E5A61" w:rsidRDefault="00CE37F6">
            <w:pPr>
              <w:pBdr>
                <w:top w:val="nil"/>
                <w:left w:val="nil"/>
                <w:bottom w:val="nil"/>
                <w:right w:val="nil"/>
                <w:between w:val="nil"/>
              </w:pBdr>
              <w:rPr>
                <w:rFonts w:ascii="Arial Narrow" w:eastAsia="Arial Narrow" w:hAnsi="Arial Narrow" w:cs="Arial Narrow"/>
                <w:color w:val="000000"/>
                <w:sz w:val="20"/>
                <w:szCs w:val="20"/>
              </w:rPr>
            </w:pPr>
            <w:bookmarkStart w:id="0" w:name="_gjdgxs" w:colFirst="0" w:colLast="0"/>
            <w:bookmarkEnd w:id="0"/>
            <w:r>
              <w:rPr>
                <w:rFonts w:ascii="Arial Narrow" w:eastAsia="Arial Narrow" w:hAnsi="Arial Narrow" w:cs="Arial Narrow"/>
                <w:color w:val="000000"/>
                <w:sz w:val="20"/>
                <w:szCs w:val="20"/>
              </w:rPr>
              <w:t xml:space="preserve">The purpose of this worksheet is to provide support for IRB members performing limited IRB reviews. </w:t>
            </w:r>
            <w:r w:rsidR="005027BE">
              <w:rPr>
                <w:rFonts w:ascii="Arial Narrow" w:eastAsia="Arial Narrow" w:hAnsi="Arial Narrow" w:cs="Arial Narrow"/>
                <w:color w:val="000000"/>
                <w:sz w:val="20"/>
                <w:szCs w:val="20"/>
              </w:rPr>
              <w:t>This worksheet does not need to be retained</w:t>
            </w:r>
            <w:r>
              <w:rPr>
                <w:rFonts w:ascii="Arial Narrow" w:eastAsia="Arial Narrow" w:hAnsi="Arial Narrow" w:cs="Arial Narrow"/>
                <w:color w:val="000000"/>
                <w:sz w:val="20"/>
                <w:szCs w:val="20"/>
              </w:rPr>
              <w:t>. (LAR = “subject’s Legally Authorized Representative”)</w:t>
            </w:r>
          </w:p>
        </w:tc>
      </w:tr>
      <w:tr w:rsidR="007E5A61" w14:paraId="31E19487" w14:textId="77777777">
        <w:trPr>
          <w:trHeight w:val="60"/>
        </w:trPr>
        <w:tc>
          <w:tcPr>
            <w:tcW w:w="10790" w:type="dxa"/>
            <w:gridSpan w:val="2"/>
            <w:shd w:val="clear" w:color="auto" w:fill="000000"/>
            <w:tcMar>
              <w:left w:w="115" w:type="dxa"/>
              <w:right w:w="115" w:type="dxa"/>
            </w:tcMar>
          </w:tcPr>
          <w:p w14:paraId="75289B7A" w14:textId="77777777" w:rsidR="007E5A61" w:rsidRDefault="007E5A61">
            <w:pPr>
              <w:rPr>
                <w:sz w:val="10"/>
                <w:szCs w:val="10"/>
              </w:rPr>
            </w:pPr>
          </w:p>
        </w:tc>
      </w:tr>
      <w:tr w:rsidR="007E5A61" w14:paraId="7CCEC753" w14:textId="77777777">
        <w:tc>
          <w:tcPr>
            <w:tcW w:w="10790" w:type="dxa"/>
            <w:gridSpan w:val="2"/>
            <w:tcBorders>
              <w:top w:val="single" w:sz="24" w:space="0" w:color="000000"/>
              <w:left w:val="single" w:sz="4" w:space="0" w:color="000000"/>
              <w:bottom w:val="single" w:sz="4" w:space="0" w:color="000000"/>
              <w:right w:val="single" w:sz="4" w:space="0" w:color="000000"/>
            </w:tcBorders>
            <w:vAlign w:val="center"/>
          </w:tcPr>
          <w:p w14:paraId="360BC69A" w14:textId="635AEC63" w:rsidR="007E5A61" w:rsidRDefault="00CE37F6" w:rsidP="00277B4C">
            <w:pPr>
              <w:pBdr>
                <w:top w:val="nil"/>
                <w:left w:val="nil"/>
                <w:bottom w:val="nil"/>
                <w:right w:val="nil"/>
                <w:between w:val="nil"/>
              </w:pBd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Method for limited IRB review:</w:t>
            </w:r>
            <w:r>
              <w:rPr>
                <w:rFonts w:ascii="Arial Narrow" w:eastAsia="Arial Narrow" w:hAnsi="Arial Narrow" w:cs="Arial Narrow"/>
                <w:color w:val="000000"/>
                <w:sz w:val="20"/>
                <w:szCs w:val="20"/>
              </w:rPr>
              <w:t xml:space="preserve"> (</w:t>
            </w:r>
            <w:r w:rsidR="00277B4C">
              <w:rPr>
                <w:rFonts w:ascii="Arial Narrow" w:eastAsia="Arial Narrow" w:hAnsi="Arial Narrow" w:cs="Arial Narrow"/>
                <w:color w:val="000000"/>
                <w:sz w:val="20"/>
                <w:szCs w:val="20"/>
              </w:rPr>
              <w:t>C</w:t>
            </w:r>
            <w:r>
              <w:rPr>
                <w:rFonts w:ascii="Arial Narrow" w:eastAsia="Arial Narrow" w:hAnsi="Arial Narrow" w:cs="Arial Narrow"/>
                <w:color w:val="000000"/>
                <w:sz w:val="20"/>
                <w:szCs w:val="20"/>
              </w:rPr>
              <w:t>heck one</w:t>
            </w:r>
            <w:r w:rsidR="00277B4C">
              <w:rPr>
                <w:rFonts w:ascii="Arial Narrow" w:eastAsia="Arial Narrow" w:hAnsi="Arial Narrow" w:cs="Arial Narrow"/>
                <w:color w:val="000000"/>
                <w:sz w:val="20"/>
                <w:szCs w:val="20"/>
              </w:rPr>
              <w:t>.</w:t>
            </w:r>
            <w:r>
              <w:rPr>
                <w:rFonts w:ascii="Arial Narrow" w:eastAsia="Arial Narrow" w:hAnsi="Arial Narrow" w:cs="Arial Narrow"/>
                <w:color w:val="000000"/>
                <w:sz w:val="20"/>
                <w:szCs w:val="20"/>
              </w:rPr>
              <w:t>)</w:t>
            </w:r>
          </w:p>
        </w:tc>
      </w:tr>
      <w:tr w:rsidR="007E5A61" w14:paraId="7038E70A" w14:textId="77777777">
        <w:tc>
          <w:tcPr>
            <w:tcW w:w="462" w:type="dxa"/>
            <w:tcBorders>
              <w:top w:val="single" w:sz="4" w:space="0" w:color="000000"/>
              <w:left w:val="single" w:sz="4" w:space="0" w:color="000000"/>
              <w:bottom w:val="single" w:sz="4" w:space="0" w:color="000000"/>
              <w:right w:val="single" w:sz="4" w:space="0" w:color="000000"/>
            </w:tcBorders>
          </w:tcPr>
          <w:p w14:paraId="23C1C300" w14:textId="77777777" w:rsidR="007E5A61" w:rsidRDefault="00CE37F6">
            <w:pPr>
              <w:pBdr>
                <w:top w:val="nil"/>
                <w:left w:val="nil"/>
                <w:bottom w:val="nil"/>
                <w:right w:val="nil"/>
                <w:between w:val="nil"/>
              </w:pBdr>
              <w:jc w:val="center"/>
              <w:rPr>
                <w:rFonts w:ascii="Arial Narrow" w:eastAsia="Arial Narrow" w:hAnsi="Arial Narrow" w:cs="Arial Narrow"/>
                <w:color w:val="000000"/>
                <w:sz w:val="20"/>
                <w:szCs w:val="20"/>
              </w:rPr>
            </w:pPr>
            <w:r>
              <w:rPr>
                <w:rFonts w:ascii="MS Gothic" w:eastAsia="MS Gothic" w:hAnsi="MS Gothic" w:cs="MS Gothic"/>
                <w:color w:val="000000"/>
                <w:sz w:val="20"/>
                <w:szCs w:val="20"/>
              </w:rPr>
              <w:t>☐</w:t>
            </w:r>
          </w:p>
        </w:tc>
        <w:tc>
          <w:tcPr>
            <w:tcW w:w="10328" w:type="dxa"/>
            <w:tcBorders>
              <w:top w:val="single" w:sz="4" w:space="0" w:color="000000"/>
              <w:left w:val="single" w:sz="4" w:space="0" w:color="000000"/>
              <w:bottom w:val="single" w:sz="4" w:space="0" w:color="000000"/>
              <w:right w:val="single" w:sz="4" w:space="0" w:color="000000"/>
            </w:tcBorders>
          </w:tcPr>
          <w:p w14:paraId="5B62969D" w14:textId="77777777" w:rsidR="007E5A61" w:rsidRDefault="00CE37F6">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Limited IRB review, for research as a condition of HRPP review </w:t>
            </w:r>
            <w:r w:rsidR="008B2548">
              <w:rPr>
                <w:rFonts w:ascii="Arial Narrow" w:eastAsia="Arial Narrow" w:hAnsi="Arial Narrow" w:cs="Arial Narrow"/>
                <w:color w:val="000000"/>
                <w:sz w:val="20"/>
                <w:szCs w:val="20"/>
              </w:rPr>
              <w:t>+</w:t>
            </w:r>
            <w:r>
              <w:rPr>
                <w:rFonts w:ascii="Arial Narrow" w:eastAsia="Arial Narrow" w:hAnsi="Arial Narrow" w:cs="Arial Narrow"/>
                <w:color w:val="000000"/>
                <w:sz w:val="20"/>
                <w:szCs w:val="20"/>
              </w:rPr>
              <w:t>/- limited review (exemption), conducted via single member (expedited) review</w:t>
            </w:r>
            <w:r>
              <w:rPr>
                <w:rFonts w:ascii="Arial Narrow" w:eastAsia="Arial Narrow" w:hAnsi="Arial Narrow" w:cs="Arial Narrow"/>
                <w:color w:val="000000"/>
                <w:sz w:val="20"/>
                <w:szCs w:val="20"/>
                <w:vertAlign w:val="superscript"/>
              </w:rPr>
              <w:footnoteReference w:id="1"/>
            </w:r>
          </w:p>
        </w:tc>
      </w:tr>
      <w:tr w:rsidR="007E5A61" w14:paraId="0F899BF3" w14:textId="77777777">
        <w:tc>
          <w:tcPr>
            <w:tcW w:w="462" w:type="dxa"/>
            <w:tcBorders>
              <w:top w:val="single" w:sz="4" w:space="0" w:color="000000"/>
              <w:left w:val="single" w:sz="4" w:space="0" w:color="000000"/>
              <w:bottom w:val="nil"/>
              <w:right w:val="single" w:sz="4" w:space="0" w:color="000000"/>
            </w:tcBorders>
          </w:tcPr>
          <w:p w14:paraId="52045AF3" w14:textId="77777777" w:rsidR="007E5A61" w:rsidRDefault="00CE37F6">
            <w:pPr>
              <w:pBdr>
                <w:top w:val="nil"/>
                <w:left w:val="nil"/>
                <w:bottom w:val="nil"/>
                <w:right w:val="nil"/>
                <w:between w:val="nil"/>
              </w:pBdr>
              <w:jc w:val="center"/>
              <w:rPr>
                <w:rFonts w:ascii="Arial Narrow" w:eastAsia="Arial Narrow" w:hAnsi="Arial Narrow" w:cs="Arial Narrow"/>
                <w:color w:val="000000"/>
                <w:sz w:val="20"/>
                <w:szCs w:val="20"/>
              </w:rPr>
            </w:pPr>
            <w:r>
              <w:rPr>
                <w:rFonts w:ascii="MS Gothic" w:eastAsia="MS Gothic" w:hAnsi="MS Gothic" w:cs="MS Gothic"/>
                <w:color w:val="000000"/>
                <w:sz w:val="20"/>
                <w:szCs w:val="20"/>
              </w:rPr>
              <w:t>☐</w:t>
            </w:r>
          </w:p>
        </w:tc>
        <w:tc>
          <w:tcPr>
            <w:tcW w:w="10328" w:type="dxa"/>
            <w:tcBorders>
              <w:top w:val="single" w:sz="4" w:space="0" w:color="000000"/>
              <w:left w:val="single" w:sz="4" w:space="0" w:color="000000"/>
              <w:bottom w:val="nil"/>
              <w:right w:val="single" w:sz="4" w:space="0" w:color="000000"/>
            </w:tcBorders>
          </w:tcPr>
          <w:p w14:paraId="0C2200E9" w14:textId="7E5DA5B6" w:rsidR="007E5A61" w:rsidRDefault="00CE37F6" w:rsidP="00277B4C">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Limited IRB review, for research as a condition of HRPP review </w:t>
            </w:r>
            <w:r w:rsidR="008B2548">
              <w:rPr>
                <w:rFonts w:ascii="Arial Narrow" w:eastAsia="Arial Narrow" w:hAnsi="Arial Narrow" w:cs="Arial Narrow"/>
                <w:color w:val="000000"/>
                <w:sz w:val="20"/>
                <w:szCs w:val="20"/>
              </w:rPr>
              <w:t>+</w:t>
            </w:r>
            <w:r>
              <w:rPr>
                <w:rFonts w:ascii="Arial Narrow" w:eastAsia="Arial Narrow" w:hAnsi="Arial Narrow" w:cs="Arial Narrow"/>
                <w:color w:val="000000"/>
                <w:sz w:val="20"/>
                <w:szCs w:val="20"/>
              </w:rPr>
              <w:t xml:space="preserve">/- limited review (exemption), performed by the </w:t>
            </w:r>
            <w:r w:rsidR="00277B4C">
              <w:rPr>
                <w:rFonts w:ascii="Arial Narrow" w:eastAsia="Arial Narrow" w:hAnsi="Arial Narrow" w:cs="Arial Narrow"/>
                <w:color w:val="000000"/>
                <w:sz w:val="20"/>
                <w:szCs w:val="20"/>
              </w:rPr>
              <w:t>f</w:t>
            </w:r>
            <w:r>
              <w:rPr>
                <w:rFonts w:ascii="Arial Narrow" w:eastAsia="Arial Narrow" w:hAnsi="Arial Narrow" w:cs="Arial Narrow"/>
                <w:color w:val="000000"/>
                <w:sz w:val="20"/>
                <w:szCs w:val="20"/>
              </w:rPr>
              <w:t>ull (convened) IRB.</w:t>
            </w:r>
          </w:p>
        </w:tc>
      </w:tr>
      <w:tr w:rsidR="007E5A61" w14:paraId="38C59763" w14:textId="77777777">
        <w:trPr>
          <w:trHeight w:val="60"/>
        </w:trPr>
        <w:tc>
          <w:tcPr>
            <w:tcW w:w="10790" w:type="dxa"/>
            <w:gridSpan w:val="2"/>
            <w:shd w:val="clear" w:color="auto" w:fill="000000"/>
            <w:tcMar>
              <w:left w:w="115" w:type="dxa"/>
              <w:right w:w="115" w:type="dxa"/>
            </w:tcMar>
          </w:tcPr>
          <w:p w14:paraId="2D3080AF" w14:textId="77777777" w:rsidR="007E5A61" w:rsidRDefault="007E5A61">
            <w:pPr>
              <w:rPr>
                <w:sz w:val="10"/>
                <w:szCs w:val="10"/>
              </w:rPr>
            </w:pPr>
          </w:p>
        </w:tc>
      </w:tr>
      <w:tr w:rsidR="007E5A61" w14:paraId="2974794F" w14:textId="77777777">
        <w:tc>
          <w:tcPr>
            <w:tcW w:w="10790" w:type="dxa"/>
            <w:gridSpan w:val="2"/>
            <w:tcMar>
              <w:left w:w="115" w:type="dxa"/>
              <w:right w:w="115" w:type="dxa"/>
            </w:tcMar>
          </w:tcPr>
          <w:p w14:paraId="0F4D7454" w14:textId="77777777" w:rsidR="007E5A61" w:rsidRDefault="00CE37F6" w:rsidP="005027BE">
            <w:pPr>
              <w:pBdr>
                <w:top w:val="nil"/>
                <w:left w:val="nil"/>
                <w:bottom w:val="nil"/>
                <w:right w:val="nil"/>
                <w:between w:val="nil"/>
              </w:pBdr>
              <w:tabs>
                <w:tab w:val="left" w:pos="360"/>
              </w:tabs>
            </w:pPr>
            <w:r>
              <w:rPr>
                <w:rFonts w:ascii="Arial Narrow" w:eastAsia="Arial Narrow" w:hAnsi="Arial Narrow" w:cs="Arial Narrow"/>
                <w:b/>
                <w:color w:val="000000"/>
                <w:sz w:val="20"/>
                <w:szCs w:val="20"/>
              </w:rPr>
              <w:t>The research falls into one the following exempt categories</w:t>
            </w:r>
            <w:r>
              <w:rPr>
                <w:rFonts w:ascii="Arial Narrow" w:eastAsia="Arial Narrow" w:hAnsi="Arial Narrow" w:cs="Arial Narrow"/>
                <w:color w:val="000000"/>
                <w:sz w:val="20"/>
                <w:szCs w:val="20"/>
              </w:rPr>
              <w:t>: (One or more categories must be checked</w:t>
            </w:r>
            <w:r w:rsidR="00277B4C">
              <w:rPr>
                <w:rFonts w:ascii="Arial Narrow" w:eastAsia="Arial Narrow" w:hAnsi="Arial Narrow" w:cs="Arial Narrow"/>
                <w:color w:val="000000"/>
                <w:sz w:val="20"/>
                <w:szCs w:val="20"/>
              </w:rPr>
              <w:t>.</w:t>
            </w:r>
            <w:r>
              <w:rPr>
                <w:rFonts w:ascii="Arial Narrow" w:eastAsia="Arial Narrow" w:hAnsi="Arial Narrow" w:cs="Arial Narrow"/>
                <w:color w:val="000000"/>
                <w:sz w:val="20"/>
                <w:szCs w:val="20"/>
              </w:rPr>
              <w:t>)</w:t>
            </w:r>
          </w:p>
        </w:tc>
      </w:tr>
      <w:tr w:rsidR="007E5A61" w14:paraId="484255C8" w14:textId="77777777">
        <w:tc>
          <w:tcPr>
            <w:tcW w:w="462" w:type="dxa"/>
            <w:tcMar>
              <w:left w:w="115" w:type="dxa"/>
              <w:right w:w="115" w:type="dxa"/>
            </w:tcMar>
          </w:tcPr>
          <w:p w14:paraId="745E876A" w14:textId="77777777" w:rsidR="007E5A61" w:rsidRDefault="00CE37F6">
            <w:pPr>
              <w:pBdr>
                <w:top w:val="nil"/>
                <w:left w:val="nil"/>
                <w:bottom w:val="nil"/>
                <w:right w:val="nil"/>
                <w:between w:val="nil"/>
              </w:pBdr>
              <w:tabs>
                <w:tab w:val="left" w:pos="720"/>
              </w:tabs>
              <w:rPr>
                <w:rFonts w:ascii="Arial Narrow" w:eastAsia="Arial Narrow" w:hAnsi="Arial Narrow" w:cs="Arial Narrow"/>
                <w:b/>
                <w:color w:val="000000"/>
                <w:sz w:val="20"/>
                <w:szCs w:val="20"/>
              </w:rPr>
            </w:pPr>
            <w:r>
              <w:rPr>
                <w:rFonts w:ascii="MS Gothic" w:eastAsia="MS Gothic" w:hAnsi="MS Gothic" w:cs="MS Gothic"/>
                <w:color w:val="000000"/>
                <w:sz w:val="20"/>
                <w:szCs w:val="20"/>
              </w:rPr>
              <w:t>☐</w:t>
            </w:r>
          </w:p>
        </w:tc>
        <w:tc>
          <w:tcPr>
            <w:tcW w:w="10328" w:type="dxa"/>
            <w:tcMar>
              <w:left w:w="115" w:type="dxa"/>
              <w:right w:w="115" w:type="dxa"/>
            </w:tcMar>
          </w:tcPr>
          <w:p w14:paraId="697DE4CB" w14:textId="77777777" w:rsidR="007E5A61" w:rsidRDefault="00CE37F6">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Category 2 (iii): Research that only includes interactions involving educational tests (cognitive, diagnostic, aptitude, achievement), survey procedures, interview procedures or observation of public behavior (including visual or auditory recording) where the information obtained is recorded by the investigator in such a manner that the identity of the </w:t>
            </w:r>
            <w:r w:rsidRPr="005027BE">
              <w:rPr>
                <w:rFonts w:ascii="Arial Narrow" w:eastAsia="Arial Narrow" w:hAnsi="Arial Narrow" w:cs="Arial Narrow"/>
                <w:color w:val="000000"/>
                <w:sz w:val="20"/>
                <w:szCs w:val="20"/>
                <w:u w:val="double"/>
              </w:rPr>
              <w:t>Human Subjects</w:t>
            </w:r>
            <w:r>
              <w:rPr>
                <w:rFonts w:ascii="Arial Narrow" w:eastAsia="Arial Narrow" w:hAnsi="Arial Narrow" w:cs="Arial Narrow"/>
                <w:color w:val="000000"/>
                <w:sz w:val="20"/>
                <w:szCs w:val="20"/>
              </w:rPr>
              <w:t xml:space="preserve"> can readily be ascertained, directly or through identifiers linked to the subjects.  The following must be true</w:t>
            </w:r>
            <w:r>
              <w:rPr>
                <w:rFonts w:ascii="Arial Narrow" w:eastAsia="Arial Narrow" w:hAnsi="Arial Narrow" w:cs="Arial Narrow"/>
                <w:color w:val="000000"/>
                <w:sz w:val="20"/>
                <w:szCs w:val="20"/>
                <w:vertAlign w:val="superscript"/>
              </w:rPr>
              <w:footnoteReference w:id="2"/>
            </w:r>
            <w:r>
              <w:rPr>
                <w:rFonts w:ascii="Arial Narrow" w:eastAsia="Arial Narrow" w:hAnsi="Arial Narrow" w:cs="Arial Narrow"/>
                <w:color w:val="000000"/>
                <w:sz w:val="20"/>
                <w:szCs w:val="20"/>
              </w:rPr>
              <w:t xml:space="preserve">: </w:t>
            </w:r>
            <w:r>
              <w:rPr>
                <w:rFonts w:ascii="Arial Narrow" w:eastAsia="Arial Narrow" w:hAnsi="Arial Narrow" w:cs="Arial Narrow"/>
                <w:b/>
                <w:color w:val="000000"/>
                <w:sz w:val="20"/>
                <w:szCs w:val="20"/>
              </w:rPr>
              <w:t>(Check if “Yes”</w:t>
            </w:r>
            <w:r w:rsidR="00277B4C">
              <w:rPr>
                <w:rFonts w:ascii="Arial Narrow" w:eastAsia="Arial Narrow" w:hAnsi="Arial Narrow" w:cs="Arial Narrow"/>
                <w:b/>
                <w:color w:val="000000"/>
                <w:sz w:val="20"/>
                <w:szCs w:val="20"/>
              </w:rPr>
              <w:t>.</w:t>
            </w:r>
            <w:r>
              <w:rPr>
                <w:rFonts w:ascii="Arial Narrow" w:eastAsia="Arial Narrow" w:hAnsi="Arial Narrow" w:cs="Arial Narrow"/>
                <w:b/>
                <w:color w:val="000000"/>
                <w:sz w:val="20"/>
                <w:szCs w:val="20"/>
              </w:rPr>
              <w:t>)</w:t>
            </w:r>
          </w:p>
          <w:p w14:paraId="1DBF202E" w14:textId="77777777" w:rsidR="007E5A61" w:rsidRDefault="00CE37F6">
            <w:pPr>
              <w:pBdr>
                <w:top w:val="nil"/>
                <w:left w:val="nil"/>
                <w:bottom w:val="nil"/>
                <w:right w:val="nil"/>
                <w:between w:val="nil"/>
              </w:pBdr>
              <w:rPr>
                <w:rFonts w:ascii="Arial Narrow" w:eastAsia="Arial Narrow" w:hAnsi="Arial Narrow" w:cs="Arial Narrow"/>
                <w:color w:val="000000"/>
                <w:sz w:val="20"/>
                <w:szCs w:val="20"/>
              </w:rPr>
            </w:pPr>
            <w:r>
              <w:rPr>
                <w:rFonts w:ascii="MS Gothic" w:eastAsia="MS Gothic" w:hAnsi="MS Gothic" w:cs="MS Gothic"/>
                <w:color w:val="000000"/>
                <w:sz w:val="20"/>
                <w:szCs w:val="20"/>
              </w:rPr>
              <w:t>☐</w:t>
            </w:r>
            <w:r>
              <w:rPr>
                <w:rFonts w:ascii="Arial Narrow" w:eastAsia="Arial Narrow" w:hAnsi="Arial Narrow" w:cs="Arial Narrow"/>
                <w:color w:val="000000"/>
                <w:sz w:val="20"/>
                <w:szCs w:val="20"/>
              </w:rPr>
              <w:t xml:space="preserve"> There are adequate provisions to protect the privacy of subjects and to maintain the confidentiality of data.</w:t>
            </w:r>
          </w:p>
        </w:tc>
      </w:tr>
      <w:tr w:rsidR="007E5A61" w14:paraId="1B2BCCB7" w14:textId="77777777">
        <w:tc>
          <w:tcPr>
            <w:tcW w:w="462" w:type="dxa"/>
            <w:tcMar>
              <w:left w:w="115" w:type="dxa"/>
              <w:right w:w="115" w:type="dxa"/>
            </w:tcMar>
          </w:tcPr>
          <w:p w14:paraId="33E1C807" w14:textId="77777777" w:rsidR="007E5A61" w:rsidRDefault="00CE37F6">
            <w:pPr>
              <w:pBdr>
                <w:top w:val="nil"/>
                <w:left w:val="nil"/>
                <w:bottom w:val="nil"/>
                <w:right w:val="nil"/>
                <w:between w:val="nil"/>
              </w:pBdr>
              <w:tabs>
                <w:tab w:val="left" w:pos="720"/>
              </w:tabs>
              <w:rPr>
                <w:rFonts w:ascii="Arial Narrow" w:eastAsia="Arial Narrow" w:hAnsi="Arial Narrow" w:cs="Arial Narrow"/>
                <w:b/>
                <w:color w:val="000000"/>
                <w:sz w:val="20"/>
                <w:szCs w:val="20"/>
              </w:rPr>
            </w:pPr>
            <w:r>
              <w:rPr>
                <w:rFonts w:ascii="MS Gothic" w:eastAsia="MS Gothic" w:hAnsi="MS Gothic" w:cs="MS Gothic"/>
                <w:color w:val="000000"/>
                <w:sz w:val="20"/>
                <w:szCs w:val="20"/>
              </w:rPr>
              <w:t>☐</w:t>
            </w:r>
          </w:p>
        </w:tc>
        <w:tc>
          <w:tcPr>
            <w:tcW w:w="10328" w:type="dxa"/>
            <w:tcMar>
              <w:left w:w="115" w:type="dxa"/>
              <w:right w:w="115" w:type="dxa"/>
            </w:tcMar>
          </w:tcPr>
          <w:p w14:paraId="77C37D5F" w14:textId="69AB42A2" w:rsidR="007E5A61" w:rsidRDefault="00CE37F6">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Category 3 (</w:t>
            </w:r>
            <w:proofErr w:type="spellStart"/>
            <w:r>
              <w:rPr>
                <w:rFonts w:ascii="Arial Narrow" w:eastAsia="Arial Narrow" w:hAnsi="Arial Narrow" w:cs="Arial Narrow"/>
                <w:color w:val="000000"/>
                <w:sz w:val="20"/>
                <w:szCs w:val="20"/>
              </w:rPr>
              <w:t>i</w:t>
            </w:r>
            <w:proofErr w:type="spellEnd"/>
            <w:r>
              <w:rPr>
                <w:rFonts w:ascii="Arial Narrow" w:eastAsia="Arial Narrow" w:hAnsi="Arial Narrow" w:cs="Arial Narrow"/>
                <w:color w:val="000000"/>
                <w:sz w:val="20"/>
                <w:szCs w:val="20"/>
              </w:rPr>
              <w:t>)(C): Resea</w:t>
            </w:r>
            <w:bookmarkStart w:id="1" w:name="_GoBack"/>
            <w:bookmarkEnd w:id="1"/>
            <w:r>
              <w:rPr>
                <w:rFonts w:ascii="Arial Narrow" w:eastAsia="Arial Narrow" w:hAnsi="Arial Narrow" w:cs="Arial Narrow"/>
                <w:color w:val="000000"/>
                <w:sz w:val="20"/>
                <w:szCs w:val="20"/>
              </w:rPr>
              <w:t>rch involving benign behavioral interventions</w:t>
            </w:r>
            <w:r>
              <w:rPr>
                <w:rFonts w:ascii="Arial Narrow" w:eastAsia="Arial Narrow" w:hAnsi="Arial Narrow" w:cs="Arial Narrow"/>
                <w:color w:val="000000"/>
                <w:sz w:val="20"/>
                <w:szCs w:val="20"/>
                <w:vertAlign w:val="superscript"/>
              </w:rPr>
              <w:footnoteReference w:id="3"/>
            </w:r>
            <w:r>
              <w:rPr>
                <w:rFonts w:ascii="Arial Narrow" w:eastAsia="Arial Narrow" w:hAnsi="Arial Narrow" w:cs="Arial Narrow"/>
                <w:color w:val="000000"/>
                <w:sz w:val="20"/>
                <w:szCs w:val="20"/>
              </w:rPr>
              <w:t xml:space="preserve"> in conjunction with the collection of information from an adult subject through verbal or written responses (including data entry) or audiovisual recording if the subject prospectively agrees to the intervention and information collection and the information obtained is recorded by the investigator in such a manner that the identity of the </w:t>
            </w:r>
            <w:r w:rsidRPr="005027BE">
              <w:rPr>
                <w:rFonts w:ascii="Arial Narrow" w:eastAsia="Arial Narrow" w:hAnsi="Arial Narrow" w:cs="Arial Narrow"/>
                <w:color w:val="000000"/>
                <w:sz w:val="20"/>
                <w:szCs w:val="20"/>
                <w:u w:val="double"/>
              </w:rPr>
              <w:t>Human Subjects</w:t>
            </w:r>
            <w:r>
              <w:rPr>
                <w:rFonts w:ascii="Arial Narrow" w:eastAsia="Arial Narrow" w:hAnsi="Arial Narrow" w:cs="Arial Narrow"/>
                <w:color w:val="000000"/>
                <w:sz w:val="20"/>
                <w:szCs w:val="20"/>
              </w:rPr>
              <w:t xml:space="preserve"> can readily be ascertained, directly or through identifiers linked to the subjects.  The following must be true</w:t>
            </w:r>
            <w:r>
              <w:rPr>
                <w:rFonts w:ascii="Arial Narrow" w:eastAsia="Arial Narrow" w:hAnsi="Arial Narrow" w:cs="Arial Narrow"/>
                <w:color w:val="000000"/>
                <w:sz w:val="20"/>
                <w:szCs w:val="20"/>
                <w:vertAlign w:val="superscript"/>
              </w:rPr>
              <w:footnoteReference w:id="4"/>
            </w:r>
            <w:r>
              <w:rPr>
                <w:rFonts w:ascii="Arial Narrow" w:eastAsia="Arial Narrow" w:hAnsi="Arial Narrow" w:cs="Arial Narrow"/>
                <w:color w:val="000000"/>
                <w:sz w:val="20"/>
                <w:szCs w:val="20"/>
                <w:vertAlign w:val="superscript"/>
              </w:rPr>
              <w:footnoteReference w:id="5"/>
            </w:r>
            <w:r>
              <w:rPr>
                <w:rFonts w:ascii="Arial Narrow" w:eastAsia="Arial Narrow" w:hAnsi="Arial Narrow" w:cs="Arial Narrow"/>
                <w:color w:val="000000"/>
                <w:sz w:val="20"/>
                <w:szCs w:val="20"/>
              </w:rPr>
              <w:t>:</w:t>
            </w:r>
            <w:r w:rsidR="00277B4C">
              <w:rPr>
                <w:rFonts w:ascii="Arial Narrow" w:eastAsia="Arial Narrow" w:hAnsi="Arial Narrow" w:cs="Arial Narrow"/>
                <w:color w:val="000000"/>
                <w:sz w:val="20"/>
                <w:szCs w:val="20"/>
              </w:rPr>
              <w:t xml:space="preserve"> </w:t>
            </w:r>
            <w:r>
              <w:rPr>
                <w:rFonts w:ascii="Arial Narrow" w:eastAsia="Arial Narrow" w:hAnsi="Arial Narrow" w:cs="Arial Narrow"/>
                <w:b/>
                <w:color w:val="000000"/>
                <w:sz w:val="20"/>
                <w:szCs w:val="20"/>
              </w:rPr>
              <w:t>(Check if “Yes”</w:t>
            </w:r>
            <w:r w:rsidR="00277B4C">
              <w:rPr>
                <w:rFonts w:ascii="Arial Narrow" w:eastAsia="Arial Narrow" w:hAnsi="Arial Narrow" w:cs="Arial Narrow"/>
                <w:b/>
                <w:color w:val="000000"/>
                <w:sz w:val="20"/>
                <w:szCs w:val="20"/>
              </w:rPr>
              <w:t>.</w:t>
            </w:r>
            <w:r>
              <w:rPr>
                <w:rFonts w:ascii="Arial Narrow" w:eastAsia="Arial Narrow" w:hAnsi="Arial Narrow" w:cs="Arial Narrow"/>
                <w:b/>
                <w:color w:val="000000"/>
                <w:sz w:val="20"/>
                <w:szCs w:val="20"/>
              </w:rPr>
              <w:t>)</w:t>
            </w:r>
          </w:p>
          <w:p w14:paraId="21AD94A2" w14:textId="77777777" w:rsidR="007E5A61" w:rsidRDefault="00CE37F6">
            <w:pPr>
              <w:pBdr>
                <w:top w:val="nil"/>
                <w:left w:val="nil"/>
                <w:bottom w:val="nil"/>
                <w:right w:val="nil"/>
                <w:between w:val="nil"/>
              </w:pBdr>
              <w:rPr>
                <w:rFonts w:ascii="Arial Narrow" w:eastAsia="Arial Narrow" w:hAnsi="Arial Narrow" w:cs="Arial Narrow"/>
                <w:color w:val="000000"/>
                <w:sz w:val="20"/>
                <w:szCs w:val="20"/>
              </w:rPr>
            </w:pPr>
            <w:r>
              <w:rPr>
                <w:rFonts w:ascii="MS Gothic" w:eastAsia="MS Gothic" w:hAnsi="MS Gothic" w:cs="MS Gothic"/>
                <w:color w:val="000000"/>
                <w:sz w:val="20"/>
                <w:szCs w:val="20"/>
              </w:rPr>
              <w:t>☐</w:t>
            </w:r>
            <w:r>
              <w:rPr>
                <w:rFonts w:ascii="Arial Narrow" w:eastAsia="Arial Narrow" w:hAnsi="Arial Narrow" w:cs="Arial Narrow"/>
                <w:color w:val="000000"/>
                <w:sz w:val="20"/>
                <w:szCs w:val="20"/>
              </w:rPr>
              <w:t xml:space="preserve">  There are adequate provisions to protect the privacy of subjects and to maintain the confidentiality of data.</w:t>
            </w:r>
          </w:p>
        </w:tc>
      </w:tr>
      <w:tr w:rsidR="007E5A61" w14:paraId="35C2E3FF" w14:textId="77777777">
        <w:tc>
          <w:tcPr>
            <w:tcW w:w="462" w:type="dxa"/>
            <w:tcMar>
              <w:left w:w="115" w:type="dxa"/>
              <w:right w:w="115" w:type="dxa"/>
            </w:tcMar>
          </w:tcPr>
          <w:p w14:paraId="7A59555B" w14:textId="77777777" w:rsidR="007E5A61" w:rsidRDefault="00CE37F6">
            <w:pPr>
              <w:pBdr>
                <w:top w:val="nil"/>
                <w:left w:val="nil"/>
                <w:bottom w:val="nil"/>
                <w:right w:val="nil"/>
                <w:between w:val="nil"/>
              </w:pBdr>
              <w:tabs>
                <w:tab w:val="left" w:pos="720"/>
              </w:tabs>
              <w:rPr>
                <w:rFonts w:ascii="Arial Narrow" w:eastAsia="Arial Narrow" w:hAnsi="Arial Narrow" w:cs="Arial Narrow"/>
                <w:b/>
                <w:color w:val="000000"/>
                <w:sz w:val="20"/>
                <w:szCs w:val="20"/>
              </w:rPr>
            </w:pPr>
            <w:r>
              <w:rPr>
                <w:rFonts w:ascii="MS Gothic" w:eastAsia="MS Gothic" w:hAnsi="MS Gothic" w:cs="MS Gothic"/>
                <w:color w:val="000000"/>
                <w:sz w:val="20"/>
                <w:szCs w:val="20"/>
              </w:rPr>
              <w:t>☐</w:t>
            </w:r>
          </w:p>
        </w:tc>
        <w:tc>
          <w:tcPr>
            <w:tcW w:w="10328" w:type="dxa"/>
            <w:tcMar>
              <w:left w:w="115" w:type="dxa"/>
              <w:right w:w="115" w:type="dxa"/>
            </w:tcMar>
          </w:tcPr>
          <w:p w14:paraId="502C6BD5" w14:textId="77777777" w:rsidR="007E5A61" w:rsidRDefault="00CE37F6">
            <w:pPr>
              <w:pBdr>
                <w:top w:val="nil"/>
                <w:left w:val="nil"/>
                <w:bottom w:val="nil"/>
                <w:right w:val="nil"/>
                <w:between w:val="nil"/>
              </w:pBdr>
              <w:rPr>
                <w:rFonts w:ascii="Arial Narrow" w:eastAsia="Arial Narrow" w:hAnsi="Arial Narrow" w:cs="Arial Narrow"/>
                <w:b/>
                <w:color w:val="000000"/>
                <w:sz w:val="20"/>
                <w:szCs w:val="20"/>
              </w:rPr>
            </w:pPr>
            <w:r>
              <w:rPr>
                <w:rFonts w:ascii="Arial Narrow" w:eastAsia="Arial Narrow" w:hAnsi="Arial Narrow" w:cs="Arial Narrow"/>
                <w:color w:val="000000"/>
                <w:sz w:val="20"/>
                <w:szCs w:val="20"/>
              </w:rPr>
              <w:t>Category 7: Storage or maintenance for secondary of identifiable private information or identifiable biospecimens for potential secondary research.  The following must all be true</w:t>
            </w:r>
            <w:r>
              <w:rPr>
                <w:rFonts w:ascii="Arial Narrow" w:eastAsia="Arial Narrow" w:hAnsi="Arial Narrow" w:cs="Arial Narrow"/>
                <w:color w:val="000000"/>
                <w:sz w:val="20"/>
                <w:szCs w:val="20"/>
                <w:vertAlign w:val="superscript"/>
              </w:rPr>
              <w:footnoteReference w:id="6"/>
            </w:r>
            <w:r>
              <w:rPr>
                <w:rFonts w:ascii="Arial Narrow" w:eastAsia="Arial Narrow" w:hAnsi="Arial Narrow" w:cs="Arial Narrow"/>
                <w:color w:val="000000"/>
                <w:sz w:val="20"/>
                <w:szCs w:val="20"/>
              </w:rPr>
              <w:t>:</w:t>
            </w:r>
            <w:r>
              <w:rPr>
                <w:rFonts w:ascii="Arial Narrow" w:eastAsia="Arial Narrow" w:hAnsi="Arial Narrow" w:cs="Arial Narrow"/>
                <w:b/>
                <w:color w:val="000000"/>
                <w:sz w:val="20"/>
                <w:szCs w:val="20"/>
              </w:rPr>
              <w:t xml:space="preserve"> (Check if “Yes”</w:t>
            </w:r>
            <w:r w:rsidR="00277B4C">
              <w:rPr>
                <w:rFonts w:ascii="Arial Narrow" w:eastAsia="Arial Narrow" w:hAnsi="Arial Narrow" w:cs="Arial Narrow"/>
                <w:b/>
                <w:color w:val="000000"/>
                <w:sz w:val="20"/>
                <w:szCs w:val="20"/>
              </w:rPr>
              <w:t>.</w:t>
            </w:r>
            <w:r>
              <w:rPr>
                <w:rFonts w:ascii="Arial Narrow" w:eastAsia="Arial Narrow" w:hAnsi="Arial Narrow" w:cs="Arial Narrow"/>
                <w:b/>
                <w:color w:val="000000"/>
                <w:sz w:val="20"/>
                <w:szCs w:val="20"/>
              </w:rPr>
              <w:t>)</w:t>
            </w:r>
          </w:p>
          <w:p w14:paraId="5331BA3F" w14:textId="77777777" w:rsidR="007E5A61" w:rsidRDefault="00CE37F6">
            <w:pPr>
              <w:pBdr>
                <w:top w:val="nil"/>
                <w:left w:val="nil"/>
                <w:bottom w:val="nil"/>
                <w:right w:val="nil"/>
                <w:between w:val="nil"/>
              </w:pBdr>
              <w:rPr>
                <w:rFonts w:ascii="Arial Narrow" w:eastAsia="Arial Narrow" w:hAnsi="Arial Narrow" w:cs="Arial Narrow"/>
                <w:color w:val="000000"/>
                <w:sz w:val="20"/>
                <w:szCs w:val="20"/>
              </w:rPr>
            </w:pPr>
            <w:r>
              <w:rPr>
                <w:rFonts w:ascii="MS Gothic" w:eastAsia="MS Gothic" w:hAnsi="MS Gothic" w:cs="MS Gothic"/>
                <w:color w:val="000000"/>
                <w:sz w:val="20"/>
                <w:szCs w:val="20"/>
              </w:rPr>
              <w:t>☐</w:t>
            </w:r>
            <w:r>
              <w:rPr>
                <w:rFonts w:ascii="Arial Narrow" w:eastAsia="Arial Narrow" w:hAnsi="Arial Narrow" w:cs="Arial Narrow"/>
                <w:color w:val="000000"/>
                <w:sz w:val="20"/>
                <w:szCs w:val="20"/>
              </w:rPr>
              <w:t xml:space="preserve"> If there is a change made for research purposes in the way the identifiable private information or identifiable biospecimens are stored or maintained, there are adequate provisions to protect the privacy of subjects and to maintain the confidentiality of data.</w:t>
            </w:r>
          </w:p>
        </w:tc>
      </w:tr>
      <w:tr w:rsidR="007E5A61" w14:paraId="6C06561E" w14:textId="77777777">
        <w:tc>
          <w:tcPr>
            <w:tcW w:w="462" w:type="dxa"/>
            <w:tcMar>
              <w:left w:w="115" w:type="dxa"/>
              <w:right w:w="115" w:type="dxa"/>
            </w:tcMar>
          </w:tcPr>
          <w:p w14:paraId="10B170B3" w14:textId="77777777" w:rsidR="007E5A61" w:rsidRDefault="00CE37F6">
            <w:pPr>
              <w:pBdr>
                <w:top w:val="nil"/>
                <w:left w:val="nil"/>
                <w:bottom w:val="nil"/>
                <w:right w:val="nil"/>
                <w:between w:val="nil"/>
              </w:pBdr>
              <w:tabs>
                <w:tab w:val="left" w:pos="720"/>
              </w:tabs>
              <w:rPr>
                <w:rFonts w:ascii="Arial Narrow" w:eastAsia="Arial Narrow" w:hAnsi="Arial Narrow" w:cs="Arial Narrow"/>
                <w:b/>
                <w:color w:val="000000"/>
                <w:sz w:val="20"/>
                <w:szCs w:val="20"/>
              </w:rPr>
            </w:pPr>
            <w:r>
              <w:rPr>
                <w:rFonts w:ascii="MS Gothic" w:eastAsia="MS Gothic" w:hAnsi="MS Gothic" w:cs="MS Gothic"/>
                <w:color w:val="000000"/>
                <w:sz w:val="20"/>
                <w:szCs w:val="20"/>
              </w:rPr>
              <w:t>☐</w:t>
            </w:r>
          </w:p>
        </w:tc>
        <w:tc>
          <w:tcPr>
            <w:tcW w:w="10328" w:type="dxa"/>
            <w:tcMar>
              <w:left w:w="115" w:type="dxa"/>
              <w:right w:w="115" w:type="dxa"/>
            </w:tcMar>
          </w:tcPr>
          <w:p w14:paraId="023D4C50" w14:textId="77777777" w:rsidR="007E5A61" w:rsidRDefault="00CE37F6">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Category 8: Secondary research involving the use of identifiable private information or identifiable biospecimens for secondary research use.  The following must all be true: </w:t>
            </w:r>
            <w:r>
              <w:rPr>
                <w:rFonts w:ascii="Arial Narrow" w:eastAsia="Arial Narrow" w:hAnsi="Arial Narrow" w:cs="Arial Narrow"/>
                <w:b/>
                <w:color w:val="000000"/>
                <w:sz w:val="20"/>
                <w:szCs w:val="20"/>
              </w:rPr>
              <w:t>(Check if “Yes”</w:t>
            </w:r>
            <w:r w:rsidR="00277B4C">
              <w:rPr>
                <w:rFonts w:ascii="Arial Narrow" w:eastAsia="Arial Narrow" w:hAnsi="Arial Narrow" w:cs="Arial Narrow"/>
                <w:b/>
                <w:color w:val="000000"/>
                <w:sz w:val="20"/>
                <w:szCs w:val="20"/>
              </w:rPr>
              <w:t>.</w:t>
            </w:r>
            <w:r>
              <w:rPr>
                <w:rFonts w:ascii="Arial Narrow" w:eastAsia="Arial Narrow" w:hAnsi="Arial Narrow" w:cs="Arial Narrow"/>
                <w:b/>
                <w:color w:val="000000"/>
                <w:sz w:val="20"/>
                <w:szCs w:val="20"/>
              </w:rPr>
              <w:t>)</w:t>
            </w:r>
          </w:p>
          <w:p w14:paraId="04A53EE8" w14:textId="77777777" w:rsidR="007E5A61" w:rsidRDefault="00CE37F6">
            <w:pPr>
              <w:pBdr>
                <w:top w:val="nil"/>
                <w:left w:val="nil"/>
                <w:bottom w:val="nil"/>
                <w:right w:val="nil"/>
                <w:between w:val="nil"/>
              </w:pBdr>
              <w:rPr>
                <w:rFonts w:ascii="Arial Narrow" w:eastAsia="Arial Narrow" w:hAnsi="Arial Narrow" w:cs="Arial Narrow"/>
                <w:color w:val="000000"/>
                <w:sz w:val="20"/>
                <w:szCs w:val="20"/>
              </w:rPr>
            </w:pPr>
            <w:r>
              <w:rPr>
                <w:rFonts w:ascii="MS Gothic" w:eastAsia="MS Gothic" w:hAnsi="MS Gothic" w:cs="MS Gothic"/>
                <w:color w:val="000000"/>
                <w:sz w:val="20"/>
                <w:szCs w:val="20"/>
              </w:rPr>
              <w:t>☐</w:t>
            </w:r>
            <w:r>
              <w:rPr>
                <w:rFonts w:ascii="Arial Narrow" w:eastAsia="Arial Narrow" w:hAnsi="Arial Narrow" w:cs="Arial Narrow"/>
                <w:color w:val="000000"/>
                <w:sz w:val="20"/>
                <w:szCs w:val="20"/>
              </w:rPr>
              <w:t xml:space="preserve"> There are adequate provisions to protect the privacy of subjects and to maintain the confidentiality of data.</w:t>
            </w:r>
          </w:p>
          <w:p w14:paraId="526AF358" w14:textId="77777777" w:rsidR="007E5A61" w:rsidRDefault="00CE37F6">
            <w:pPr>
              <w:pBdr>
                <w:top w:val="nil"/>
                <w:left w:val="nil"/>
                <w:bottom w:val="nil"/>
                <w:right w:val="nil"/>
                <w:between w:val="nil"/>
              </w:pBdr>
              <w:rPr>
                <w:rFonts w:ascii="Arial Narrow" w:eastAsia="Arial Narrow" w:hAnsi="Arial Narrow" w:cs="Arial Narrow"/>
                <w:color w:val="000000"/>
                <w:sz w:val="20"/>
                <w:szCs w:val="20"/>
              </w:rPr>
            </w:pPr>
            <w:r>
              <w:rPr>
                <w:rFonts w:ascii="MS Gothic" w:eastAsia="MS Gothic" w:hAnsi="MS Gothic" w:cs="MS Gothic"/>
                <w:color w:val="000000"/>
                <w:sz w:val="20"/>
                <w:szCs w:val="20"/>
              </w:rPr>
              <w:t>☐</w:t>
            </w:r>
            <w:r>
              <w:rPr>
                <w:rFonts w:ascii="Arial Narrow" w:eastAsia="Arial Narrow" w:hAnsi="Arial Narrow" w:cs="Arial Narrow"/>
                <w:color w:val="000000"/>
                <w:sz w:val="20"/>
                <w:szCs w:val="20"/>
              </w:rPr>
              <w:t xml:space="preserve"> The investigator does not include returning individual research results to subjects as part of the study plan</w:t>
            </w:r>
            <w:r>
              <w:rPr>
                <w:rFonts w:ascii="Arial Narrow" w:eastAsia="Arial Narrow" w:hAnsi="Arial Narrow" w:cs="Arial Narrow"/>
                <w:color w:val="000000"/>
                <w:sz w:val="20"/>
                <w:szCs w:val="20"/>
                <w:vertAlign w:val="superscript"/>
              </w:rPr>
              <w:footnoteReference w:id="7"/>
            </w:r>
            <w:r>
              <w:rPr>
                <w:rFonts w:ascii="Arial Narrow" w:eastAsia="Arial Narrow" w:hAnsi="Arial Narrow" w:cs="Arial Narrow"/>
                <w:color w:val="000000"/>
                <w:sz w:val="20"/>
                <w:szCs w:val="20"/>
              </w:rPr>
              <w:t xml:space="preserve">. </w:t>
            </w:r>
          </w:p>
        </w:tc>
      </w:tr>
      <w:tr w:rsidR="007E5A61" w14:paraId="2DA14F87" w14:textId="77777777">
        <w:trPr>
          <w:trHeight w:val="60"/>
        </w:trPr>
        <w:tc>
          <w:tcPr>
            <w:tcW w:w="10790" w:type="dxa"/>
            <w:gridSpan w:val="2"/>
            <w:shd w:val="clear" w:color="auto" w:fill="000000"/>
            <w:tcMar>
              <w:left w:w="115" w:type="dxa"/>
              <w:right w:w="115" w:type="dxa"/>
            </w:tcMar>
          </w:tcPr>
          <w:p w14:paraId="4A22A1AD" w14:textId="77777777" w:rsidR="007E5A61" w:rsidRDefault="007E5A61">
            <w:pPr>
              <w:pBdr>
                <w:top w:val="nil"/>
                <w:left w:val="nil"/>
                <w:bottom w:val="nil"/>
                <w:right w:val="nil"/>
                <w:between w:val="nil"/>
              </w:pBdr>
              <w:rPr>
                <w:rFonts w:ascii="Arial Narrow" w:eastAsia="Arial Narrow" w:hAnsi="Arial Narrow" w:cs="Arial Narrow"/>
                <w:color w:val="000000"/>
                <w:sz w:val="20"/>
                <w:szCs w:val="20"/>
              </w:rPr>
            </w:pPr>
          </w:p>
        </w:tc>
      </w:tr>
    </w:tbl>
    <w:p w14:paraId="2074B42E" w14:textId="77777777" w:rsidR="007E5A61" w:rsidRDefault="007E5A61" w:rsidP="008B2548"/>
    <w:sectPr w:rsidR="007E5A61">
      <w:headerReference w:type="default" r:id="rId7"/>
      <w:footerReference w:type="default" r:id="rId8"/>
      <w:pgSz w:w="12240" w:h="15840"/>
      <w:pgMar w:top="720" w:right="720" w:bottom="720" w:left="720" w:header="720" w:footer="5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0E5B5" w14:textId="77777777" w:rsidR="00681D60" w:rsidRDefault="00681D60">
      <w:r>
        <w:separator/>
      </w:r>
    </w:p>
  </w:endnote>
  <w:endnote w:type="continuationSeparator" w:id="0">
    <w:p w14:paraId="4903EB72" w14:textId="77777777" w:rsidR="00681D60" w:rsidRDefault="00681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mo">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C9E4C" w14:textId="77777777" w:rsidR="007E5A61" w:rsidRDefault="00CE37F6">
    <w:pPr>
      <w:pBdr>
        <w:top w:val="nil"/>
        <w:left w:val="nil"/>
        <w:bottom w:val="nil"/>
        <w:right w:val="nil"/>
        <w:between w:val="nil"/>
      </w:pBdr>
      <w:tabs>
        <w:tab w:val="right" w:pos="9720"/>
        <w:tab w:val="right" w:pos="10620"/>
      </w:tabs>
      <w:jc w:val="center"/>
      <w:rPr>
        <w:rFonts w:ascii="Arial Black" w:eastAsia="Arial Black" w:hAnsi="Arial Black" w:cs="Arial Black"/>
        <w:color w:val="000000"/>
        <w:sz w:val="18"/>
        <w:szCs w:val="18"/>
      </w:rPr>
    </w:pPr>
    <w:bookmarkStart w:id="2" w:name="_30j0zll" w:colFirst="0" w:colLast="0"/>
    <w:bookmarkEnd w:id="2"/>
    <w:r>
      <w:rPr>
        <w:rFonts w:ascii="Arial Black" w:eastAsia="Arial Black" w:hAnsi="Arial Black" w:cs="Arial Black"/>
        <w:color w:val="000000"/>
        <w:sz w:val="16"/>
        <w:szCs w:val="16"/>
      </w:rPr>
      <w:t>Huron HRPP Toolkit 4.1</w:t>
    </w:r>
  </w:p>
  <w:p w14:paraId="6571CE88" w14:textId="77777777" w:rsidR="007E5A61" w:rsidRDefault="00CE37F6">
    <w:pPr>
      <w:pBdr>
        <w:top w:val="nil"/>
        <w:left w:val="nil"/>
        <w:bottom w:val="nil"/>
        <w:right w:val="nil"/>
        <w:between w:val="nil"/>
      </w:pBdr>
      <w:tabs>
        <w:tab w:val="right" w:pos="9720"/>
        <w:tab w:val="right" w:pos="10620"/>
      </w:tabs>
      <w:jc w:val="center"/>
      <w:rPr>
        <w:rFonts w:ascii="Arial" w:eastAsia="Arial" w:hAnsi="Arial" w:cs="Arial"/>
        <w:color w:val="000000"/>
        <w:sz w:val="16"/>
        <w:szCs w:val="16"/>
      </w:rPr>
    </w:pPr>
    <w:r>
      <w:rPr>
        <w:rFonts w:ascii="Arial" w:eastAsia="Arial" w:hAnsi="Arial" w:cs="Arial"/>
        <w:color w:val="000000"/>
        <w:sz w:val="16"/>
        <w:szCs w:val="16"/>
      </w:rPr>
      <w:t>©2009-2018 Huron Consulting Services, LLC.</w:t>
    </w:r>
  </w:p>
  <w:p w14:paraId="5A0D1A3C" w14:textId="77777777" w:rsidR="007E5A61" w:rsidRDefault="00CE37F6">
    <w:pPr>
      <w:pBdr>
        <w:top w:val="nil"/>
        <w:left w:val="nil"/>
        <w:bottom w:val="nil"/>
        <w:right w:val="nil"/>
        <w:between w:val="nil"/>
      </w:pBdr>
      <w:tabs>
        <w:tab w:val="right" w:pos="9720"/>
        <w:tab w:val="right" w:pos="10620"/>
      </w:tabs>
      <w:jc w:val="center"/>
      <w:rPr>
        <w:rFonts w:ascii="Arial" w:eastAsia="Arial" w:hAnsi="Arial" w:cs="Arial"/>
        <w:color w:val="000000"/>
        <w:sz w:val="16"/>
        <w:szCs w:val="16"/>
      </w:rPr>
    </w:pPr>
    <w:r>
      <w:rPr>
        <w:rFonts w:ascii="Arial" w:eastAsia="Arial" w:hAnsi="Arial" w:cs="Arial"/>
        <w:color w:val="000000"/>
        <w:sz w:val="16"/>
        <w:szCs w:val="16"/>
      </w:rPr>
      <w:t>Use subject to Huron’s HRPP Toolkit terms and conditions</w:t>
    </w:r>
  </w:p>
  <w:p w14:paraId="43B4600A" w14:textId="77777777" w:rsidR="007E5A61" w:rsidRDefault="00CE37F6">
    <w:pPr>
      <w:pBdr>
        <w:top w:val="nil"/>
        <w:left w:val="nil"/>
        <w:bottom w:val="nil"/>
        <w:right w:val="nil"/>
        <w:between w:val="nil"/>
      </w:pBdr>
      <w:tabs>
        <w:tab w:val="right" w:pos="10620"/>
        <w:tab w:val="right" w:pos="10800"/>
      </w:tabs>
      <w:rPr>
        <w:rFonts w:ascii="Arial" w:eastAsia="Arial" w:hAnsi="Arial" w:cs="Arial"/>
        <w:color w:val="000000"/>
        <w:sz w:val="16"/>
        <w:szCs w:val="16"/>
      </w:rPr>
    </w:pPr>
    <w:r>
      <w:rPr>
        <w:rFonts w:ascii="Arial" w:eastAsia="Arial" w:hAnsi="Arial" w:cs="Arial"/>
        <w:color w:val="00000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FDA76" w14:textId="77777777" w:rsidR="00681D60" w:rsidRDefault="00681D60">
      <w:r>
        <w:separator/>
      </w:r>
    </w:p>
  </w:footnote>
  <w:footnote w:type="continuationSeparator" w:id="0">
    <w:p w14:paraId="0D0C4426" w14:textId="77777777" w:rsidR="00681D60" w:rsidRDefault="00681D60">
      <w:r>
        <w:continuationSeparator/>
      </w:r>
    </w:p>
  </w:footnote>
  <w:footnote w:id="1">
    <w:p w14:paraId="7091F9EE" w14:textId="77777777" w:rsidR="007E5A61" w:rsidRDefault="00CE37F6">
      <w:pPr>
        <w:pBdr>
          <w:top w:val="nil"/>
          <w:left w:val="nil"/>
          <w:bottom w:val="nil"/>
          <w:right w:val="nil"/>
          <w:between w:val="nil"/>
        </w:pBdr>
        <w:ind w:left="216" w:hanging="216"/>
        <w:rPr>
          <w:color w:val="000000"/>
          <w:sz w:val="18"/>
          <w:szCs w:val="18"/>
        </w:rPr>
      </w:pPr>
      <w:r>
        <w:rPr>
          <w:vertAlign w:val="superscript"/>
        </w:rPr>
        <w:footnoteRef/>
      </w:r>
      <w:r>
        <w:rPr>
          <w:color w:val="000000"/>
          <w:sz w:val="18"/>
          <w:szCs w:val="18"/>
        </w:rPr>
        <w:t xml:space="preserve"> 45 CFR §46.110(b)(1)</w:t>
      </w:r>
    </w:p>
  </w:footnote>
  <w:footnote w:id="2">
    <w:p w14:paraId="2B2E176C" w14:textId="77777777" w:rsidR="007E5A61" w:rsidRDefault="00CE37F6">
      <w:pPr>
        <w:pBdr>
          <w:top w:val="nil"/>
          <w:left w:val="nil"/>
          <w:bottom w:val="nil"/>
          <w:right w:val="nil"/>
          <w:between w:val="nil"/>
        </w:pBdr>
        <w:ind w:left="216" w:hanging="216"/>
        <w:rPr>
          <w:color w:val="000000"/>
          <w:sz w:val="18"/>
          <w:szCs w:val="18"/>
        </w:rPr>
      </w:pPr>
      <w:r>
        <w:rPr>
          <w:vertAlign w:val="superscript"/>
        </w:rPr>
        <w:footnoteRef/>
      </w:r>
      <w:r>
        <w:rPr>
          <w:color w:val="000000"/>
          <w:sz w:val="18"/>
          <w:szCs w:val="18"/>
        </w:rPr>
        <w:t xml:space="preserve"> 45 CFR §46.111(a)(7)</w:t>
      </w:r>
    </w:p>
  </w:footnote>
  <w:footnote w:id="3">
    <w:p w14:paraId="22455CBC" w14:textId="77777777" w:rsidR="007E5A61" w:rsidRDefault="00CE37F6">
      <w:pPr>
        <w:pBdr>
          <w:top w:val="nil"/>
          <w:left w:val="nil"/>
          <w:bottom w:val="nil"/>
          <w:right w:val="nil"/>
          <w:between w:val="nil"/>
        </w:pBdr>
        <w:ind w:left="216" w:hanging="216"/>
        <w:rPr>
          <w:color w:val="000000"/>
          <w:sz w:val="18"/>
          <w:szCs w:val="18"/>
        </w:rPr>
      </w:pPr>
      <w:r>
        <w:rPr>
          <w:vertAlign w:val="superscript"/>
        </w:rPr>
        <w:footnoteRef/>
      </w:r>
      <w:r>
        <w:rPr>
          <w:color w:val="000000"/>
          <w:sz w:val="18"/>
          <w:szCs w:val="18"/>
        </w:rPr>
        <w:t xml:space="preserve"> For the purpose of this provision, benign behavioral interventions are brief in duration, harmless, painless, not physically invasive, not likely to have a significant adverse lasting impact on the subjects, and the investigator has no reason to think the subjects will find the interventions offensive or embarrassing. Provided all such criteria are met, examples of such benign behavioral interventions would include having the subjects play an online game, having them solve puzzles under various noise conditions, or having them decide how to allocate a nominal amount of received cash between themselves and someone else.</w:t>
      </w:r>
    </w:p>
  </w:footnote>
  <w:footnote w:id="4">
    <w:p w14:paraId="5A034B3F" w14:textId="77777777" w:rsidR="007E5A61" w:rsidRDefault="00CE37F6">
      <w:pPr>
        <w:pBdr>
          <w:top w:val="nil"/>
          <w:left w:val="nil"/>
          <w:bottom w:val="nil"/>
          <w:right w:val="nil"/>
          <w:between w:val="nil"/>
        </w:pBdr>
        <w:ind w:left="216" w:hanging="216"/>
        <w:rPr>
          <w:color w:val="000000"/>
          <w:sz w:val="18"/>
          <w:szCs w:val="18"/>
        </w:rPr>
      </w:pPr>
      <w:r>
        <w:rPr>
          <w:vertAlign w:val="superscript"/>
        </w:rPr>
        <w:footnoteRef/>
      </w:r>
      <w:r>
        <w:rPr>
          <w:color w:val="000000"/>
          <w:sz w:val="18"/>
          <w:szCs w:val="18"/>
        </w:rPr>
        <w:t xml:space="preserve"> 45 CFR §46.111(a)(7)</w:t>
      </w:r>
    </w:p>
  </w:footnote>
  <w:footnote w:id="5">
    <w:p w14:paraId="4B6A9D82" w14:textId="77777777" w:rsidR="007E5A61" w:rsidRDefault="00CE37F6">
      <w:pPr>
        <w:pBdr>
          <w:top w:val="nil"/>
          <w:left w:val="nil"/>
          <w:bottom w:val="nil"/>
          <w:right w:val="nil"/>
          <w:between w:val="nil"/>
        </w:pBdr>
        <w:ind w:left="216" w:hanging="216"/>
        <w:rPr>
          <w:color w:val="000000"/>
          <w:sz w:val="18"/>
          <w:szCs w:val="18"/>
        </w:rPr>
      </w:pPr>
      <w:r>
        <w:rPr>
          <w:vertAlign w:val="superscript"/>
        </w:rPr>
        <w:footnoteRef/>
      </w:r>
      <w:r>
        <w:rPr>
          <w:color w:val="000000"/>
          <w:sz w:val="18"/>
          <w:szCs w:val="18"/>
        </w:rPr>
        <w:t xml:space="preserve"> If the research involves deceiving the subjects regarding the nature or purposes of the research, this exemption is not applicable unless the subject authorizes the deception through a prospective agreement to participate in research in circumstances in which the subject is informed that he or she will be unaware of or misled regarding the nature or purposes of the research.</w:t>
      </w:r>
    </w:p>
  </w:footnote>
  <w:footnote w:id="6">
    <w:p w14:paraId="54295419" w14:textId="77777777" w:rsidR="007E5A61" w:rsidRDefault="00CE37F6">
      <w:pPr>
        <w:pBdr>
          <w:top w:val="nil"/>
          <w:left w:val="nil"/>
          <w:bottom w:val="nil"/>
          <w:right w:val="nil"/>
          <w:between w:val="nil"/>
        </w:pBdr>
        <w:ind w:left="216" w:hanging="216"/>
        <w:rPr>
          <w:color w:val="000000"/>
          <w:sz w:val="18"/>
          <w:szCs w:val="18"/>
        </w:rPr>
      </w:pPr>
      <w:r>
        <w:rPr>
          <w:vertAlign w:val="superscript"/>
        </w:rPr>
        <w:footnoteRef/>
      </w:r>
      <w:r>
        <w:rPr>
          <w:color w:val="000000"/>
          <w:sz w:val="18"/>
          <w:szCs w:val="18"/>
        </w:rPr>
        <w:t xml:space="preserve"> 45 CFR §46.111(a)(8)</w:t>
      </w:r>
    </w:p>
  </w:footnote>
  <w:footnote w:id="7">
    <w:p w14:paraId="508C350C" w14:textId="77777777" w:rsidR="007E5A61" w:rsidRDefault="00CE37F6">
      <w:pPr>
        <w:pBdr>
          <w:top w:val="nil"/>
          <w:left w:val="nil"/>
          <w:bottom w:val="nil"/>
          <w:right w:val="nil"/>
          <w:between w:val="nil"/>
        </w:pBdr>
        <w:ind w:left="216" w:hanging="216"/>
        <w:rPr>
          <w:color w:val="000000"/>
          <w:sz w:val="18"/>
          <w:szCs w:val="18"/>
        </w:rPr>
      </w:pPr>
      <w:r>
        <w:rPr>
          <w:vertAlign w:val="superscript"/>
        </w:rPr>
        <w:footnoteRef/>
      </w:r>
      <w:r>
        <w:rPr>
          <w:color w:val="000000"/>
          <w:sz w:val="18"/>
          <w:szCs w:val="18"/>
        </w:rPr>
        <w:t xml:space="preserve"> This provision does not prevent an investigator from abiding by any legal requirements to return individual research results.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E87D6" w14:textId="77777777" w:rsidR="007E5A61" w:rsidRDefault="007E5A61">
    <w:pPr>
      <w:widowControl w:val="0"/>
      <w:pBdr>
        <w:top w:val="nil"/>
        <w:left w:val="nil"/>
        <w:bottom w:val="nil"/>
        <w:right w:val="nil"/>
        <w:between w:val="nil"/>
      </w:pBdr>
      <w:spacing w:line="276" w:lineRule="auto"/>
      <w:rPr>
        <w:color w:val="000000"/>
        <w:sz w:val="18"/>
        <w:szCs w:val="18"/>
      </w:rPr>
    </w:pPr>
  </w:p>
  <w:tbl>
    <w:tblPr>
      <w:tblStyle w:val="a1"/>
      <w:tblW w:w="108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3844"/>
      <w:gridCol w:w="2403"/>
      <w:gridCol w:w="2265"/>
      <w:gridCol w:w="2294"/>
    </w:tblGrid>
    <w:tr w:rsidR="007E5A61" w14:paraId="330DB24F" w14:textId="77777777">
      <w:trPr>
        <w:trHeight w:val="260"/>
      </w:trPr>
      <w:tc>
        <w:tcPr>
          <w:tcW w:w="3844" w:type="dxa"/>
          <w:vMerge w:val="restart"/>
          <w:tcBorders>
            <w:top w:val="nil"/>
            <w:left w:val="nil"/>
            <w:bottom w:val="nil"/>
            <w:right w:val="single" w:sz="4" w:space="0" w:color="000000"/>
          </w:tcBorders>
          <w:vAlign w:val="center"/>
        </w:tcPr>
        <w:p w14:paraId="4AADCC79" w14:textId="77777777" w:rsidR="007E5A61" w:rsidRDefault="00CE37F6">
          <w:pPr>
            <w:rPr>
              <w:rFonts w:ascii="Arial" w:eastAsia="Arial" w:hAnsi="Arial" w:cs="Arial"/>
            </w:rPr>
          </w:pPr>
          <w:r>
            <w:rPr>
              <w:rFonts w:ascii="Arial" w:eastAsia="Arial" w:hAnsi="Arial" w:cs="Arial"/>
              <w:noProof/>
            </w:rPr>
            <w:drawing>
              <wp:inline distT="0" distB="0" distL="0" distR="0" wp14:anchorId="31B4B069" wp14:editId="7BE08D19">
                <wp:extent cx="1078992" cy="21640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78992" cy="216408"/>
                        </a:xfrm>
                        <a:prstGeom prst="rect">
                          <a:avLst/>
                        </a:prstGeom>
                        <a:ln/>
                      </pic:spPr>
                    </pic:pic>
                  </a:graphicData>
                </a:graphic>
              </wp:inline>
            </w:drawing>
          </w:r>
        </w:p>
      </w:tc>
      <w:tc>
        <w:tcPr>
          <w:tcW w:w="6962" w:type="dxa"/>
          <w:gridSpan w:val="3"/>
          <w:tcBorders>
            <w:top w:val="single" w:sz="4" w:space="0" w:color="000000"/>
            <w:left w:val="single" w:sz="4" w:space="0" w:color="000000"/>
            <w:bottom w:val="single" w:sz="4" w:space="0" w:color="000000"/>
            <w:right w:val="single" w:sz="4" w:space="0" w:color="000000"/>
          </w:tcBorders>
          <w:vAlign w:val="center"/>
        </w:tcPr>
        <w:p w14:paraId="088A0C7C" w14:textId="77777777" w:rsidR="007E5A61" w:rsidRDefault="00CE37F6">
          <w:pPr>
            <w:pBdr>
              <w:top w:val="nil"/>
              <w:left w:val="nil"/>
              <w:bottom w:val="nil"/>
              <w:right w:val="nil"/>
              <w:between w:val="nil"/>
            </w:pBdr>
            <w:spacing w:before="120" w:after="120"/>
            <w:jc w:val="center"/>
            <w:rPr>
              <w:rFonts w:ascii="Arial" w:eastAsia="Arial" w:hAnsi="Arial" w:cs="Arial"/>
              <w:color w:val="000000"/>
            </w:rPr>
          </w:pPr>
          <w:r>
            <w:rPr>
              <w:rFonts w:ascii="Arial" w:eastAsia="Arial" w:hAnsi="Arial" w:cs="Arial"/>
              <w:b/>
              <w:color w:val="000000"/>
            </w:rPr>
            <w:t>WORKSHEET: Limited IRB Review</w:t>
          </w:r>
        </w:p>
      </w:tc>
    </w:tr>
    <w:tr w:rsidR="007E5A61" w14:paraId="0863C3D9" w14:textId="77777777">
      <w:trPr>
        <w:trHeight w:val="280"/>
      </w:trPr>
      <w:tc>
        <w:tcPr>
          <w:tcW w:w="3844" w:type="dxa"/>
          <w:vMerge/>
          <w:tcBorders>
            <w:top w:val="nil"/>
            <w:left w:val="nil"/>
            <w:bottom w:val="nil"/>
            <w:right w:val="single" w:sz="4" w:space="0" w:color="000000"/>
          </w:tcBorders>
          <w:vAlign w:val="center"/>
        </w:tcPr>
        <w:p w14:paraId="2F7E628F" w14:textId="77777777" w:rsidR="007E5A61" w:rsidRDefault="007E5A61">
          <w:pPr>
            <w:widowControl w:val="0"/>
            <w:pBdr>
              <w:top w:val="nil"/>
              <w:left w:val="nil"/>
              <w:bottom w:val="nil"/>
              <w:right w:val="nil"/>
              <w:between w:val="nil"/>
            </w:pBdr>
            <w:spacing w:line="276" w:lineRule="auto"/>
            <w:rPr>
              <w:rFonts w:ascii="Arial" w:eastAsia="Arial" w:hAnsi="Arial" w:cs="Arial"/>
              <w:color w:val="000000"/>
            </w:rPr>
          </w:pPr>
        </w:p>
      </w:tc>
      <w:tc>
        <w:tcPr>
          <w:tcW w:w="2403" w:type="dxa"/>
          <w:tcBorders>
            <w:top w:val="single" w:sz="4" w:space="0" w:color="000000"/>
            <w:left w:val="single" w:sz="4" w:space="0" w:color="000000"/>
            <w:bottom w:val="single" w:sz="4" w:space="0" w:color="000000"/>
            <w:right w:val="single" w:sz="4" w:space="0" w:color="000000"/>
          </w:tcBorders>
          <w:tcMar>
            <w:top w:w="0" w:type="dxa"/>
            <w:left w:w="29" w:type="dxa"/>
            <w:bottom w:w="0" w:type="dxa"/>
            <w:right w:w="29" w:type="dxa"/>
          </w:tcMar>
          <w:vAlign w:val="center"/>
        </w:tcPr>
        <w:p w14:paraId="1E97C3F8" w14:textId="77777777" w:rsidR="007E5A61" w:rsidRDefault="00CE37F6">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NUMBER</w:t>
          </w:r>
        </w:p>
      </w:tc>
      <w:tc>
        <w:tcPr>
          <w:tcW w:w="2265" w:type="dxa"/>
          <w:tcBorders>
            <w:top w:val="single" w:sz="4" w:space="0" w:color="000000"/>
            <w:left w:val="single" w:sz="4" w:space="0" w:color="000000"/>
            <w:bottom w:val="single" w:sz="4" w:space="0" w:color="000000"/>
            <w:right w:val="single" w:sz="4" w:space="0" w:color="000000"/>
          </w:tcBorders>
          <w:tcMar>
            <w:top w:w="0" w:type="dxa"/>
            <w:left w:w="29" w:type="dxa"/>
            <w:bottom w:w="0" w:type="dxa"/>
            <w:right w:w="29" w:type="dxa"/>
          </w:tcMar>
          <w:vAlign w:val="center"/>
        </w:tcPr>
        <w:p w14:paraId="3F45C787" w14:textId="77777777" w:rsidR="007E5A61" w:rsidRDefault="00CE37F6">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DATE</w:t>
          </w:r>
        </w:p>
      </w:tc>
      <w:tc>
        <w:tcPr>
          <w:tcW w:w="2294" w:type="dxa"/>
          <w:tcBorders>
            <w:top w:val="single" w:sz="4" w:space="0" w:color="000000"/>
            <w:left w:val="single" w:sz="4" w:space="0" w:color="000000"/>
            <w:bottom w:val="single" w:sz="4" w:space="0" w:color="000000"/>
            <w:right w:val="single" w:sz="4" w:space="0" w:color="000000"/>
          </w:tcBorders>
          <w:tcMar>
            <w:top w:w="0" w:type="dxa"/>
            <w:left w:w="29" w:type="dxa"/>
            <w:bottom w:w="0" w:type="dxa"/>
            <w:right w:w="29" w:type="dxa"/>
          </w:tcMar>
          <w:vAlign w:val="center"/>
        </w:tcPr>
        <w:p w14:paraId="730455FD" w14:textId="77777777" w:rsidR="007E5A61" w:rsidRDefault="00CE37F6">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PAGE</w:t>
          </w:r>
        </w:p>
      </w:tc>
    </w:tr>
    <w:tr w:rsidR="007E5A61" w14:paraId="50B05351" w14:textId="77777777">
      <w:trPr>
        <w:trHeight w:val="280"/>
      </w:trPr>
      <w:tc>
        <w:tcPr>
          <w:tcW w:w="3844" w:type="dxa"/>
          <w:vMerge/>
          <w:tcBorders>
            <w:top w:val="nil"/>
            <w:left w:val="nil"/>
            <w:bottom w:val="nil"/>
            <w:right w:val="single" w:sz="4" w:space="0" w:color="000000"/>
          </w:tcBorders>
          <w:vAlign w:val="center"/>
        </w:tcPr>
        <w:p w14:paraId="765D15E6" w14:textId="77777777" w:rsidR="007E5A61" w:rsidRDefault="007E5A61">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2403" w:type="dxa"/>
          <w:tcBorders>
            <w:top w:val="single" w:sz="4" w:space="0" w:color="000000"/>
            <w:left w:val="single" w:sz="4" w:space="0" w:color="000000"/>
            <w:bottom w:val="single" w:sz="4" w:space="0" w:color="000000"/>
            <w:right w:val="single" w:sz="4" w:space="0" w:color="000000"/>
          </w:tcBorders>
          <w:tcMar>
            <w:top w:w="0" w:type="dxa"/>
            <w:left w:w="29" w:type="dxa"/>
            <w:bottom w:w="0" w:type="dxa"/>
            <w:right w:w="29" w:type="dxa"/>
          </w:tcMar>
          <w:vAlign w:val="center"/>
        </w:tcPr>
        <w:p w14:paraId="6C1E0FFD" w14:textId="77777777" w:rsidR="007E5A61" w:rsidRDefault="00CE37F6">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HRP-319</w:t>
          </w:r>
        </w:p>
      </w:tc>
      <w:tc>
        <w:tcPr>
          <w:tcW w:w="2265" w:type="dxa"/>
          <w:tcBorders>
            <w:top w:val="single" w:sz="4" w:space="0" w:color="000000"/>
            <w:left w:val="single" w:sz="4" w:space="0" w:color="000000"/>
            <w:bottom w:val="single" w:sz="4" w:space="0" w:color="000000"/>
            <w:right w:val="single" w:sz="4" w:space="0" w:color="000000"/>
          </w:tcBorders>
          <w:tcMar>
            <w:top w:w="0" w:type="dxa"/>
            <w:left w:w="29" w:type="dxa"/>
            <w:bottom w:w="0" w:type="dxa"/>
            <w:right w:w="29" w:type="dxa"/>
          </w:tcMar>
          <w:vAlign w:val="center"/>
        </w:tcPr>
        <w:p w14:paraId="58584B6E" w14:textId="2A9F2E5F" w:rsidR="007E5A61" w:rsidRDefault="00CE37F6">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0</w:t>
          </w:r>
          <w:r w:rsidR="00102CC8">
            <w:rPr>
              <w:rFonts w:ascii="Arial" w:eastAsia="Arial" w:hAnsi="Arial" w:cs="Arial"/>
              <w:color w:val="000000"/>
              <w:sz w:val="18"/>
              <w:szCs w:val="18"/>
            </w:rPr>
            <w:t>2/25</w:t>
          </w:r>
          <w:r>
            <w:rPr>
              <w:rFonts w:ascii="Arial" w:eastAsia="Arial" w:hAnsi="Arial" w:cs="Arial"/>
              <w:color w:val="000000"/>
              <w:sz w:val="18"/>
              <w:szCs w:val="18"/>
            </w:rPr>
            <w:t>/2019</w:t>
          </w:r>
        </w:p>
      </w:tc>
      <w:tc>
        <w:tcPr>
          <w:tcW w:w="2294" w:type="dxa"/>
          <w:tcBorders>
            <w:top w:val="single" w:sz="4" w:space="0" w:color="000000"/>
            <w:left w:val="single" w:sz="4" w:space="0" w:color="000000"/>
            <w:bottom w:val="single" w:sz="4" w:space="0" w:color="000000"/>
            <w:right w:val="single" w:sz="4" w:space="0" w:color="000000"/>
          </w:tcBorders>
          <w:tcMar>
            <w:top w:w="0" w:type="dxa"/>
            <w:left w:w="29" w:type="dxa"/>
            <w:bottom w:w="0" w:type="dxa"/>
            <w:right w:w="29" w:type="dxa"/>
          </w:tcMar>
          <w:vAlign w:val="center"/>
        </w:tcPr>
        <w:p w14:paraId="4E5291CD" w14:textId="38878D61" w:rsidR="007E5A61" w:rsidRDefault="00CE37F6">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277B4C">
            <w:rPr>
              <w:rFonts w:ascii="Arial" w:eastAsia="Arial" w:hAnsi="Arial" w:cs="Arial"/>
              <w:noProof/>
              <w:color w:val="000000"/>
              <w:sz w:val="18"/>
              <w:szCs w:val="18"/>
            </w:rPr>
            <w:t>1</w:t>
          </w:r>
          <w:r>
            <w:rPr>
              <w:rFonts w:ascii="Arial" w:eastAsia="Arial" w:hAnsi="Arial" w:cs="Arial"/>
              <w:color w:val="000000"/>
              <w:sz w:val="18"/>
              <w:szCs w:val="18"/>
            </w:rPr>
            <w:fldChar w:fldCharType="end"/>
          </w:r>
          <w:r>
            <w:rPr>
              <w:rFonts w:ascii="Arial" w:eastAsia="Arial" w:hAnsi="Arial" w:cs="Arial"/>
              <w:color w:val="000000"/>
              <w:sz w:val="18"/>
              <w:szCs w:val="18"/>
            </w:rPr>
            <w:t xml:space="preserve"> of </w:t>
          </w:r>
          <w:r>
            <w:rPr>
              <w:rFonts w:ascii="Arial" w:eastAsia="Arial" w:hAnsi="Arial" w:cs="Arial"/>
              <w:color w:val="000000"/>
              <w:sz w:val="18"/>
              <w:szCs w:val="18"/>
            </w:rPr>
            <w:fldChar w:fldCharType="begin"/>
          </w:r>
          <w:r>
            <w:rPr>
              <w:rFonts w:ascii="Arial" w:eastAsia="Arial" w:hAnsi="Arial" w:cs="Arial"/>
              <w:color w:val="000000"/>
              <w:sz w:val="18"/>
              <w:szCs w:val="18"/>
            </w:rPr>
            <w:instrText>NUMPAGES</w:instrText>
          </w:r>
          <w:r>
            <w:rPr>
              <w:rFonts w:ascii="Arial" w:eastAsia="Arial" w:hAnsi="Arial" w:cs="Arial"/>
              <w:color w:val="000000"/>
              <w:sz w:val="18"/>
              <w:szCs w:val="18"/>
            </w:rPr>
            <w:fldChar w:fldCharType="separate"/>
          </w:r>
          <w:r w:rsidR="00277B4C">
            <w:rPr>
              <w:rFonts w:ascii="Arial" w:eastAsia="Arial" w:hAnsi="Arial" w:cs="Arial"/>
              <w:noProof/>
              <w:color w:val="000000"/>
              <w:sz w:val="18"/>
              <w:szCs w:val="18"/>
            </w:rPr>
            <w:t>1</w:t>
          </w:r>
          <w:r>
            <w:rPr>
              <w:rFonts w:ascii="Arial" w:eastAsia="Arial" w:hAnsi="Arial" w:cs="Arial"/>
              <w:color w:val="000000"/>
              <w:sz w:val="18"/>
              <w:szCs w:val="18"/>
            </w:rPr>
            <w:fldChar w:fldCharType="end"/>
          </w:r>
        </w:p>
      </w:tc>
    </w:tr>
  </w:tbl>
  <w:p w14:paraId="17792F35" w14:textId="77777777" w:rsidR="007E5A61" w:rsidRDefault="007E5A61">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860508"/>
    <w:multiLevelType w:val="multilevel"/>
    <w:tmpl w:val="7C2E8872"/>
    <w:lvl w:ilvl="0">
      <w:start w:val="1"/>
      <w:numFmt w:val="decimal"/>
      <w:lvlText w:val="%1"/>
      <w:lvlJc w:val="left"/>
      <w:pPr>
        <w:ind w:left="720" w:hanging="720"/>
      </w:pPr>
      <w:rPr>
        <w:rFonts w:ascii="Arimo" w:eastAsia="Arimo" w:hAnsi="Arimo" w:cs="Arimo"/>
      </w:rPr>
    </w:lvl>
    <w:lvl w:ilvl="1">
      <w:start w:val="1"/>
      <w:numFmt w:val="decimal"/>
      <w:lvlText w:val="☐  %1.%2"/>
      <w:lvlJc w:val="left"/>
      <w:pPr>
        <w:ind w:left="1080" w:hanging="720"/>
      </w:pPr>
      <w:rPr>
        <w:rFonts w:ascii="Arimo" w:eastAsia="Arimo" w:hAnsi="Arimo" w:cs="Arimo"/>
      </w:rPr>
    </w:lvl>
    <w:lvl w:ilvl="2">
      <w:start w:val="1"/>
      <w:numFmt w:val="decimal"/>
      <w:lvlText w:val="☐    %1.%2.%3"/>
      <w:lvlJc w:val="left"/>
      <w:pPr>
        <w:ind w:left="2268" w:hanging="1007"/>
      </w:pPr>
      <w:rPr>
        <w:rFonts w:ascii="Arimo" w:eastAsia="Arimo" w:hAnsi="Arimo" w:cs="Arimo"/>
      </w:rPr>
    </w:lvl>
    <w:lvl w:ilvl="3">
      <w:start w:val="1"/>
      <w:numFmt w:val="decimal"/>
      <w:lvlText w:val="☐    %1.%2.%3.%4"/>
      <w:lvlJc w:val="left"/>
      <w:pPr>
        <w:ind w:left="3744" w:hanging="1296"/>
      </w:pPr>
      <w:rPr>
        <w:rFonts w:ascii="Arimo" w:eastAsia="Arimo" w:hAnsi="Arimo" w:cs="Arimo"/>
        <w:strike w:val="0"/>
        <w:color w:val="000000"/>
        <w:vertAlign w:val="baseline"/>
      </w:rPr>
    </w:lvl>
    <w:lvl w:ilvl="4">
      <w:start w:val="1"/>
      <w:numFmt w:val="decimal"/>
      <w:lvlText w:val="%1.%2.%3.%4.%5"/>
      <w:lvlJc w:val="left"/>
      <w:pPr>
        <w:ind w:left="5328" w:hanging="1584"/>
      </w:pPr>
    </w:lvl>
    <w:lvl w:ilvl="5">
      <w:start w:val="1"/>
      <w:numFmt w:val="decimal"/>
      <w:lvlText w:val="%1.%2.%3.%4.%5.%6"/>
      <w:lvlJc w:val="left"/>
      <w:pPr>
        <w:ind w:left="7200" w:hanging="187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A61"/>
    <w:rsid w:val="00102CC8"/>
    <w:rsid w:val="00277B4C"/>
    <w:rsid w:val="005027BE"/>
    <w:rsid w:val="00681D60"/>
    <w:rsid w:val="007E5A61"/>
    <w:rsid w:val="00857037"/>
    <w:rsid w:val="008B2548"/>
    <w:rsid w:val="00AF6135"/>
    <w:rsid w:val="00CD5A21"/>
    <w:rsid w:val="00CE37F6"/>
    <w:rsid w:val="00D44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30D7F"/>
  <w15:docId w15:val="{3694C6F9-DDDF-4AB3-A7C6-4C0C00F14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Arial" w:eastAsia="Arial" w:hAnsi="Arial" w:cs="Arial"/>
      <w:b/>
      <w:sz w:val="32"/>
      <w:szCs w:val="32"/>
    </w:rPr>
  </w:style>
  <w:style w:type="paragraph" w:styleId="Heading2">
    <w:name w:val="heading 2"/>
    <w:basedOn w:val="Normal"/>
    <w:next w:val="Normal"/>
    <w:uiPriority w:val="9"/>
    <w:semiHidden/>
    <w:unhideWhenUsed/>
    <w:qFormat/>
    <w:pPr>
      <w:keepNext/>
      <w:spacing w:before="240" w:after="60"/>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keepNext/>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spacing w:before="240" w:after="60"/>
      <w:outlineLvl w:val="3"/>
    </w:pPr>
    <w:rPr>
      <w:b/>
      <w:sz w:val="28"/>
      <w:szCs w:val="28"/>
    </w:rPr>
  </w:style>
  <w:style w:type="paragraph" w:styleId="Heading5">
    <w:name w:val="heading 5"/>
    <w:basedOn w:val="Normal"/>
    <w:next w:val="Normal"/>
    <w:uiPriority w:val="9"/>
    <w:semiHidden/>
    <w:unhideWhenUsed/>
    <w:qFormat/>
    <w:pPr>
      <w:spacing w:before="240" w:after="60"/>
      <w:outlineLvl w:val="4"/>
    </w:pPr>
    <w:rPr>
      <w:b/>
      <w:i/>
      <w:sz w:val="26"/>
      <w:szCs w:val="26"/>
    </w:rPr>
  </w:style>
  <w:style w:type="paragraph" w:styleId="Heading6">
    <w:name w:val="heading 6"/>
    <w:basedOn w:val="Normal"/>
    <w:next w:val="Normal"/>
    <w:uiPriority w:val="9"/>
    <w:semiHidden/>
    <w:unhideWhenUsed/>
    <w:qFormat/>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Arial" w:eastAsia="Arial" w:hAnsi="Arial" w:cs="Arial"/>
      <w:b/>
      <w:sz w:val="32"/>
      <w:szCs w:val="32"/>
    </w:rPr>
  </w:style>
  <w:style w:type="paragraph" w:styleId="Subtitle">
    <w:name w:val="Subtitle"/>
    <w:basedOn w:val="Normal"/>
    <w:next w:val="Normal"/>
    <w:uiPriority w:val="11"/>
    <w:qFormat/>
    <w:pPr>
      <w:spacing w:after="60"/>
      <w:jc w:val="center"/>
    </w:pPr>
    <w:rPr>
      <w:rFonts w:ascii="Arial" w:eastAsia="Arial" w:hAnsi="Arial" w:cs="Arial"/>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277B4C"/>
    <w:rPr>
      <w:sz w:val="16"/>
      <w:szCs w:val="16"/>
    </w:rPr>
  </w:style>
  <w:style w:type="paragraph" w:styleId="CommentText">
    <w:name w:val="annotation text"/>
    <w:basedOn w:val="Normal"/>
    <w:link w:val="CommentTextChar"/>
    <w:uiPriority w:val="99"/>
    <w:semiHidden/>
    <w:unhideWhenUsed/>
    <w:rsid w:val="00277B4C"/>
    <w:rPr>
      <w:sz w:val="20"/>
      <w:szCs w:val="20"/>
    </w:rPr>
  </w:style>
  <w:style w:type="character" w:customStyle="1" w:styleId="CommentTextChar">
    <w:name w:val="Comment Text Char"/>
    <w:basedOn w:val="DefaultParagraphFont"/>
    <w:link w:val="CommentText"/>
    <w:uiPriority w:val="99"/>
    <w:semiHidden/>
    <w:rsid w:val="00277B4C"/>
    <w:rPr>
      <w:sz w:val="20"/>
      <w:szCs w:val="20"/>
    </w:rPr>
  </w:style>
  <w:style w:type="paragraph" w:styleId="CommentSubject">
    <w:name w:val="annotation subject"/>
    <w:basedOn w:val="CommentText"/>
    <w:next w:val="CommentText"/>
    <w:link w:val="CommentSubjectChar"/>
    <w:uiPriority w:val="99"/>
    <w:semiHidden/>
    <w:unhideWhenUsed/>
    <w:rsid w:val="00277B4C"/>
    <w:rPr>
      <w:b/>
      <w:bCs/>
    </w:rPr>
  </w:style>
  <w:style w:type="character" w:customStyle="1" w:styleId="CommentSubjectChar">
    <w:name w:val="Comment Subject Char"/>
    <w:basedOn w:val="CommentTextChar"/>
    <w:link w:val="CommentSubject"/>
    <w:uiPriority w:val="99"/>
    <w:semiHidden/>
    <w:rsid w:val="00277B4C"/>
    <w:rPr>
      <w:b/>
      <w:bCs/>
      <w:sz w:val="20"/>
      <w:szCs w:val="20"/>
    </w:rPr>
  </w:style>
  <w:style w:type="paragraph" w:styleId="BalloonText">
    <w:name w:val="Balloon Text"/>
    <w:basedOn w:val="Normal"/>
    <w:link w:val="BalloonTextChar"/>
    <w:uiPriority w:val="99"/>
    <w:semiHidden/>
    <w:unhideWhenUsed/>
    <w:rsid w:val="00277B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B4C"/>
    <w:rPr>
      <w:rFonts w:ascii="Segoe UI" w:hAnsi="Segoe UI" w:cs="Segoe UI"/>
      <w:sz w:val="18"/>
      <w:szCs w:val="18"/>
    </w:rPr>
  </w:style>
  <w:style w:type="paragraph" w:styleId="Header">
    <w:name w:val="header"/>
    <w:basedOn w:val="Normal"/>
    <w:link w:val="HeaderChar"/>
    <w:uiPriority w:val="99"/>
    <w:unhideWhenUsed/>
    <w:rsid w:val="00102CC8"/>
    <w:pPr>
      <w:tabs>
        <w:tab w:val="center" w:pos="4680"/>
        <w:tab w:val="right" w:pos="9360"/>
      </w:tabs>
    </w:pPr>
  </w:style>
  <w:style w:type="character" w:customStyle="1" w:styleId="HeaderChar">
    <w:name w:val="Header Char"/>
    <w:basedOn w:val="DefaultParagraphFont"/>
    <w:link w:val="Header"/>
    <w:uiPriority w:val="99"/>
    <w:rsid w:val="00102CC8"/>
  </w:style>
  <w:style w:type="paragraph" w:styleId="Footer">
    <w:name w:val="footer"/>
    <w:basedOn w:val="Normal"/>
    <w:link w:val="FooterChar"/>
    <w:uiPriority w:val="99"/>
    <w:unhideWhenUsed/>
    <w:rsid w:val="00102CC8"/>
    <w:pPr>
      <w:tabs>
        <w:tab w:val="center" w:pos="4680"/>
        <w:tab w:val="right" w:pos="9360"/>
      </w:tabs>
    </w:pPr>
  </w:style>
  <w:style w:type="character" w:customStyle="1" w:styleId="FooterChar">
    <w:name w:val="Footer Char"/>
    <w:basedOn w:val="DefaultParagraphFont"/>
    <w:link w:val="Footer"/>
    <w:uiPriority w:val="99"/>
    <w:rsid w:val="00102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Thornhill</dc:creator>
  <cp:lastModifiedBy>Mary Potter</cp:lastModifiedBy>
  <cp:revision>2</cp:revision>
  <dcterms:created xsi:type="dcterms:W3CDTF">2019-03-10T01:39:00Z</dcterms:created>
  <dcterms:modified xsi:type="dcterms:W3CDTF">2019-03-10T01:39:00Z</dcterms:modified>
</cp:coreProperties>
</file>