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6CDE6" w14:textId="77777777" w:rsidR="000674DE" w:rsidRDefault="000674D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49"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246"/>
        <w:gridCol w:w="2343"/>
        <w:gridCol w:w="957"/>
        <w:gridCol w:w="3404"/>
        <w:gridCol w:w="3340"/>
        <w:gridCol w:w="26"/>
      </w:tblGrid>
      <w:tr w:rsidR="000674DE" w14:paraId="29BFA655" w14:textId="77777777" w:rsidTr="002803F7">
        <w:tc>
          <w:tcPr>
            <w:tcW w:w="10748" w:type="dxa"/>
            <w:gridSpan w:val="7"/>
            <w:tcBorders>
              <w:bottom w:val="single" w:sz="4" w:space="0" w:color="000000"/>
            </w:tcBorders>
          </w:tcPr>
          <w:p w14:paraId="57E5E644"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bookmarkStart w:id="0" w:name="_gjdgxs" w:colFirst="0" w:colLast="0"/>
            <w:bookmarkEnd w:id="0"/>
            <w:r>
              <w:rPr>
                <w:rFonts w:ascii="Arial Narrow" w:eastAsia="Arial Narrow" w:hAnsi="Arial Narrow" w:cs="Arial Narrow"/>
                <w:color w:val="000000"/>
                <w:sz w:val="20"/>
                <w:szCs w:val="20"/>
              </w:rPr>
              <w:t>The purpose of this worksheet is to provide support for IRB members reviewing research. This worksheet must be used. It does not need to be completed or retained. (LAR = “subject’s legally authorized representative”)</w:t>
            </w:r>
          </w:p>
        </w:tc>
      </w:tr>
      <w:tr w:rsidR="000674DE" w14:paraId="5A330CE4" w14:textId="77777777" w:rsidTr="002803F7">
        <w:trPr>
          <w:trHeight w:val="60"/>
        </w:trPr>
        <w:tc>
          <w:tcPr>
            <w:tcW w:w="10748" w:type="dxa"/>
            <w:gridSpan w:val="7"/>
            <w:tcBorders>
              <w:bottom w:val="single" w:sz="4" w:space="0" w:color="000000"/>
            </w:tcBorders>
            <w:shd w:val="clear" w:color="auto" w:fill="000000"/>
          </w:tcPr>
          <w:p w14:paraId="385CC65F" w14:textId="77777777" w:rsidR="000674DE" w:rsidRDefault="000674DE">
            <w:pPr>
              <w:pBdr>
                <w:top w:val="nil"/>
                <w:left w:val="nil"/>
                <w:bottom w:val="nil"/>
                <w:right w:val="nil"/>
                <w:between w:val="nil"/>
              </w:pBdr>
              <w:rPr>
                <w:rFonts w:ascii="Arial Narrow" w:eastAsia="Arial Narrow" w:hAnsi="Arial Narrow" w:cs="Arial Narrow"/>
                <w:color w:val="000000"/>
                <w:sz w:val="20"/>
                <w:szCs w:val="20"/>
              </w:rPr>
            </w:pPr>
          </w:p>
        </w:tc>
      </w:tr>
      <w:tr w:rsidR="000674DE" w14:paraId="6E9A9112" w14:textId="77777777" w:rsidTr="002803F7">
        <w:trPr>
          <w:trHeight w:val="220"/>
        </w:trPr>
        <w:tc>
          <w:tcPr>
            <w:tcW w:w="10748" w:type="dxa"/>
            <w:gridSpan w:val="7"/>
            <w:tcBorders>
              <w:bottom w:val="single" w:sz="4" w:space="0" w:color="000000"/>
            </w:tcBorders>
          </w:tcPr>
          <w:p w14:paraId="7382739F" w14:textId="146CD820" w:rsidR="000674DE" w:rsidRDefault="003F2952">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t xml:space="preserve">General Considerations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 xml:space="preserve">“Yes” </w:t>
            </w:r>
            <w:r>
              <w:rPr>
                <w:rFonts w:ascii="Arial Narrow" w:eastAsia="Arial Narrow" w:hAnsi="Arial Narrow" w:cs="Arial Narrow"/>
                <w:color w:val="000000"/>
                <w:sz w:val="20"/>
                <w:szCs w:val="20"/>
              </w:rPr>
              <w:t>or</w:t>
            </w:r>
            <w:r>
              <w:rPr>
                <w:rFonts w:ascii="Arial Narrow" w:eastAsia="Arial Narrow" w:hAnsi="Arial Narrow" w:cs="Arial Narrow"/>
                <w:b/>
                <w:color w:val="000000"/>
                <w:sz w:val="20"/>
                <w:szCs w:val="20"/>
              </w:rPr>
              <w:t xml:space="preserve"> “N/A”</w:t>
            </w:r>
            <w:r>
              <w:rPr>
                <w:rFonts w:ascii="Arial Narrow" w:eastAsia="Arial Narrow" w:hAnsi="Arial Narrow" w:cs="Arial Narrow"/>
                <w:color w:val="000000"/>
                <w:sz w:val="20"/>
                <w:szCs w:val="20"/>
              </w:rPr>
              <w:t>. All</w:t>
            </w:r>
            <w:r w:rsidR="0049654B">
              <w:rPr>
                <w:rFonts w:ascii="Arial Narrow" w:eastAsia="Arial Narrow" w:hAnsi="Arial Narrow" w:cs="Arial Narrow"/>
                <w:color w:val="000000"/>
                <w:sz w:val="20"/>
                <w:szCs w:val="20"/>
              </w:rPr>
              <w:t xml:space="preserve"> items </w:t>
            </w:r>
            <w:r>
              <w:rPr>
                <w:rFonts w:ascii="Arial Narrow" w:eastAsia="Arial Narrow" w:hAnsi="Arial Narrow" w:cs="Arial Narrow"/>
                <w:color w:val="000000"/>
                <w:sz w:val="20"/>
                <w:szCs w:val="20"/>
              </w:rPr>
              <w:t>must be checked</w:t>
            </w:r>
            <w:r w:rsidR="006F77E0">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0674DE" w14:paraId="50C8296B" w14:textId="77777777" w:rsidTr="002803F7">
        <w:trPr>
          <w:trHeight w:val="220"/>
        </w:trPr>
        <w:tc>
          <w:tcPr>
            <w:tcW w:w="433" w:type="dxa"/>
            <w:tcBorders>
              <w:bottom w:val="single" w:sz="4" w:space="0" w:color="000000"/>
            </w:tcBorders>
          </w:tcPr>
          <w:p w14:paraId="3ABC588D"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669DDA2F"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w:t>
            </w:r>
            <w:r w:rsidR="002803F7">
              <w:rPr>
                <w:rFonts w:ascii="Arial Narrow" w:eastAsia="Arial Narrow" w:hAnsi="Arial Narrow" w:cs="Arial Narrow"/>
                <w:color w:val="000000"/>
                <w:sz w:val="20"/>
                <w:szCs w:val="20"/>
              </w:rPr>
              <w:t xml:space="preserve"> full (</w:t>
            </w:r>
            <w:r>
              <w:rPr>
                <w:rFonts w:ascii="Arial Narrow" w:eastAsia="Arial Narrow" w:hAnsi="Arial Narrow" w:cs="Arial Narrow"/>
                <w:color w:val="000000"/>
                <w:sz w:val="20"/>
                <w:szCs w:val="20"/>
              </w:rPr>
              <w:t>convened</w:t>
            </w:r>
            <w:r w:rsidR="002803F7">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xml:space="preserve"> IRB (or </w:t>
            </w:r>
            <w:r>
              <w:rPr>
                <w:rFonts w:ascii="Arial Narrow" w:eastAsia="Arial Narrow" w:hAnsi="Arial Narrow" w:cs="Arial Narrow"/>
                <w:color w:val="000000"/>
                <w:sz w:val="20"/>
                <w:szCs w:val="20"/>
                <w:u w:val="single"/>
              </w:rPr>
              <w:t>Designated Reviewer</w:t>
            </w:r>
            <w:r>
              <w:rPr>
                <w:rFonts w:ascii="Arial Narrow" w:eastAsia="Arial Narrow" w:hAnsi="Arial Narrow" w:cs="Arial Narrow"/>
                <w:color w:val="000000"/>
                <w:sz w:val="20"/>
                <w:szCs w:val="20"/>
              </w:rPr>
              <w:t>) has, or has obtained through consultation, adequate expertise.</w:t>
            </w:r>
          </w:p>
        </w:tc>
      </w:tr>
      <w:tr w:rsidR="000674DE" w14:paraId="457BE041" w14:textId="77777777" w:rsidTr="002803F7">
        <w:trPr>
          <w:trHeight w:val="220"/>
        </w:trPr>
        <w:tc>
          <w:tcPr>
            <w:tcW w:w="433" w:type="dxa"/>
            <w:tcBorders>
              <w:bottom w:val="single" w:sz="4" w:space="0" w:color="000000"/>
            </w:tcBorders>
          </w:tcPr>
          <w:p w14:paraId="29E9E0BD"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0C5F7799"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For initial review the principal investigator is not </w:t>
            </w:r>
            <w:r>
              <w:rPr>
                <w:rFonts w:ascii="Arial Narrow" w:eastAsia="Arial Narrow" w:hAnsi="Arial Narrow" w:cs="Arial Narrow"/>
                <w:color w:val="000000"/>
                <w:sz w:val="20"/>
                <w:szCs w:val="20"/>
                <w:u w:val="single"/>
              </w:rPr>
              <w:t>Restricted</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 xml:space="preserve"> (“N/A” if not initial review)  N/A: </w:t>
            </w:r>
            <w:r>
              <w:rPr>
                <w:rFonts w:ascii="MS Gothic" w:eastAsia="MS Gothic" w:hAnsi="MS Gothic" w:cs="MS Gothic"/>
                <w:b/>
                <w:color w:val="000000"/>
                <w:sz w:val="20"/>
                <w:szCs w:val="20"/>
              </w:rPr>
              <w:t>☐</w:t>
            </w:r>
          </w:p>
        </w:tc>
      </w:tr>
      <w:tr w:rsidR="000674DE" w14:paraId="4292CB40" w14:textId="77777777" w:rsidTr="002803F7">
        <w:trPr>
          <w:trHeight w:val="220"/>
        </w:trPr>
        <w:tc>
          <w:tcPr>
            <w:tcW w:w="433" w:type="dxa"/>
            <w:tcBorders>
              <w:bottom w:val="single" w:sz="4" w:space="0" w:color="000000"/>
            </w:tcBorders>
          </w:tcPr>
          <w:p w14:paraId="3C56F5E1"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6F239187"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Materials are complete.</w:t>
            </w:r>
          </w:p>
        </w:tc>
      </w:tr>
      <w:tr w:rsidR="000674DE" w14:paraId="5E3255A7" w14:textId="77777777" w:rsidTr="002803F7">
        <w:trPr>
          <w:trHeight w:val="60"/>
        </w:trPr>
        <w:tc>
          <w:tcPr>
            <w:tcW w:w="10748" w:type="dxa"/>
            <w:gridSpan w:val="7"/>
            <w:tcBorders>
              <w:bottom w:val="single" w:sz="4" w:space="0" w:color="000000"/>
            </w:tcBorders>
            <w:shd w:val="clear" w:color="auto" w:fill="000000"/>
          </w:tcPr>
          <w:p w14:paraId="148C1C9C" w14:textId="77777777" w:rsidR="000674DE" w:rsidRDefault="000674DE">
            <w:pPr>
              <w:pBdr>
                <w:top w:val="nil"/>
                <w:left w:val="nil"/>
                <w:bottom w:val="nil"/>
                <w:right w:val="nil"/>
                <w:between w:val="nil"/>
              </w:pBdr>
              <w:rPr>
                <w:rFonts w:ascii="Arial Narrow" w:eastAsia="Arial Narrow" w:hAnsi="Arial Narrow" w:cs="Arial Narrow"/>
                <w:color w:val="000000"/>
                <w:sz w:val="20"/>
                <w:szCs w:val="20"/>
              </w:rPr>
            </w:pPr>
          </w:p>
        </w:tc>
      </w:tr>
      <w:tr w:rsidR="000674DE" w14:paraId="1FEFAF55" w14:textId="77777777" w:rsidTr="002803F7">
        <w:trPr>
          <w:trHeight w:val="200"/>
        </w:trPr>
        <w:tc>
          <w:tcPr>
            <w:tcW w:w="10748" w:type="dxa"/>
            <w:gridSpan w:val="7"/>
            <w:tcBorders>
              <w:bottom w:val="single" w:sz="4" w:space="0" w:color="000000"/>
            </w:tcBorders>
          </w:tcPr>
          <w:p w14:paraId="4C0CBE5C" w14:textId="24420955" w:rsidR="000674DE" w:rsidRDefault="003F2952" w:rsidP="00D92578">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t xml:space="preserve">Criteria for Approval of Research: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 xml:space="preserve">“Yes” </w:t>
            </w:r>
            <w:r>
              <w:rPr>
                <w:rFonts w:ascii="Arial Narrow" w:eastAsia="Arial Narrow" w:hAnsi="Arial Narrow" w:cs="Arial Narrow"/>
                <w:color w:val="000000"/>
                <w:sz w:val="20"/>
                <w:szCs w:val="20"/>
              </w:rPr>
              <w:t>or</w:t>
            </w:r>
            <w:r>
              <w:rPr>
                <w:rFonts w:ascii="Arial Narrow" w:eastAsia="Arial Narrow" w:hAnsi="Arial Narrow" w:cs="Arial Narrow"/>
                <w:b/>
                <w:color w:val="000000"/>
                <w:sz w:val="20"/>
                <w:szCs w:val="20"/>
              </w:rPr>
              <w:t xml:space="preserve"> “N/A”</w:t>
            </w:r>
            <w:r>
              <w:rPr>
                <w:rFonts w:ascii="Arial Narrow" w:eastAsia="Arial Narrow" w:hAnsi="Arial Narrow" w:cs="Arial Narrow"/>
                <w:color w:val="000000"/>
                <w:sz w:val="20"/>
                <w:szCs w:val="20"/>
              </w:rPr>
              <w:t xml:space="preserve">. All </w:t>
            </w:r>
            <w:r w:rsidR="0049654B">
              <w:rPr>
                <w:rFonts w:ascii="Arial Narrow" w:eastAsia="Arial Narrow" w:hAnsi="Arial Narrow" w:cs="Arial Narrow"/>
                <w:color w:val="000000"/>
                <w:sz w:val="20"/>
                <w:szCs w:val="20"/>
              </w:rPr>
              <w:t xml:space="preserve">items </w:t>
            </w:r>
            <w:bookmarkStart w:id="1" w:name="_GoBack"/>
            <w:bookmarkEnd w:id="1"/>
            <w:r>
              <w:rPr>
                <w:rFonts w:ascii="Arial Narrow" w:eastAsia="Arial Narrow" w:hAnsi="Arial Narrow" w:cs="Arial Narrow"/>
                <w:color w:val="000000"/>
                <w:sz w:val="20"/>
                <w:szCs w:val="20"/>
              </w:rPr>
              <w:t>must be checked</w:t>
            </w:r>
            <w:r w:rsidR="00D92578">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Applies to initial, continuing, modifications</w:t>
            </w:r>
            <w:r w:rsidR="00D92578">
              <w:rPr>
                <w:rFonts w:ascii="Arial Narrow" w:eastAsia="Arial Narrow" w:hAnsi="Arial Narrow" w:cs="Arial Narrow"/>
                <w:color w:val="000000"/>
                <w:sz w:val="20"/>
                <w:szCs w:val="20"/>
              </w:rPr>
              <w:t>.</w:t>
            </w:r>
          </w:p>
        </w:tc>
      </w:tr>
      <w:tr w:rsidR="000674DE" w14:paraId="63764255" w14:textId="77777777" w:rsidTr="002803F7">
        <w:trPr>
          <w:trHeight w:val="220"/>
        </w:trPr>
        <w:tc>
          <w:tcPr>
            <w:tcW w:w="433" w:type="dxa"/>
            <w:tcBorders>
              <w:bottom w:val="single" w:sz="4" w:space="0" w:color="000000"/>
            </w:tcBorders>
          </w:tcPr>
          <w:p w14:paraId="49261689"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553B6A9F"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Risks to subjects are minimized by using procedures, which are consistent with sound research design and which do not unnecessarily expose subjects to risk.</w:t>
            </w:r>
          </w:p>
        </w:tc>
      </w:tr>
      <w:tr w:rsidR="000674DE" w14:paraId="4920CC4D" w14:textId="77777777" w:rsidTr="002803F7">
        <w:trPr>
          <w:trHeight w:val="220"/>
        </w:trPr>
        <w:tc>
          <w:tcPr>
            <w:tcW w:w="433" w:type="dxa"/>
            <w:tcBorders>
              <w:bottom w:val="single" w:sz="4" w:space="0" w:color="000000"/>
            </w:tcBorders>
          </w:tcPr>
          <w:p w14:paraId="4ADB9849"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656E0774" w14:textId="0B8BD766" w:rsidR="000674DE" w:rsidRDefault="003F2952">
            <w:pPr>
              <w:pBdr>
                <w:top w:val="nil"/>
                <w:left w:val="nil"/>
                <w:bottom w:val="nil"/>
                <w:right w:val="nil"/>
                <w:between w:val="nil"/>
              </w:pBdr>
              <w:rPr>
                <w:rFonts w:ascii="Arial Narrow" w:eastAsia="Arial Narrow" w:hAnsi="Arial Narrow" w:cs="Arial Narrow"/>
                <w:color w:val="000000"/>
                <w:sz w:val="20"/>
                <w:szCs w:val="20"/>
              </w:rPr>
            </w:pPr>
            <w:bookmarkStart w:id="2" w:name="_30j0zll" w:colFirst="0" w:colLast="0"/>
            <w:bookmarkEnd w:id="2"/>
            <w:r>
              <w:rPr>
                <w:rFonts w:ascii="Arial Narrow" w:eastAsia="Arial Narrow" w:hAnsi="Arial Narrow" w:cs="Arial Narrow"/>
                <w:color w:val="000000"/>
                <w:sz w:val="20"/>
                <w:szCs w:val="20"/>
              </w:rPr>
              <w:t xml:space="preserve">Risks to subjects are minimized by using </w:t>
            </w:r>
            <w:r w:rsidRPr="00C94794">
              <w:rPr>
                <w:rFonts w:ascii="Arial Narrow" w:eastAsia="Arial Narrow" w:hAnsi="Arial Narrow" w:cs="Arial Narrow"/>
                <w:color w:val="000000"/>
                <w:sz w:val="20"/>
                <w:szCs w:val="20"/>
              </w:rPr>
              <w:t>procedures already being performed on the subjects for diagnostic or treatment purposes.</w:t>
            </w:r>
            <w:r>
              <w:rPr>
                <w:rFonts w:ascii="Arial Narrow" w:eastAsia="Arial Narrow" w:hAnsi="Arial Narrow" w:cs="Arial Narrow"/>
                <w:b/>
                <w:color w:val="000000"/>
                <w:sz w:val="20"/>
                <w:szCs w:val="20"/>
              </w:rPr>
              <w:t xml:space="preserve"> (“N/A” if no</w:t>
            </w:r>
            <w:r w:rsidR="00C94794">
              <w:rPr>
                <w:rFonts w:ascii="Arial Narrow" w:eastAsia="Arial Narrow" w:hAnsi="Arial Narrow" w:cs="Arial Narrow"/>
                <w:b/>
                <w:color w:val="000000"/>
                <w:sz w:val="20"/>
                <w:szCs w:val="20"/>
              </w:rPr>
              <w:t xml:space="preserve"> procedures being performed</w:t>
            </w:r>
            <w:r>
              <w:rPr>
                <w:rFonts w:ascii="Arial Narrow" w:eastAsia="Arial Narrow" w:hAnsi="Arial Narrow" w:cs="Arial Narrow"/>
                <w:b/>
                <w:color w:val="000000"/>
                <w:sz w:val="20"/>
                <w:szCs w:val="20"/>
              </w:rPr>
              <w:t xml:space="preserve">)  N/A: </w:t>
            </w:r>
            <w:r w:rsidR="00C94794">
              <w:rPr>
                <w:rFonts w:ascii="MS Gothic" w:eastAsia="MS Gothic" w:hAnsi="MS Gothic" w:cs="MS Gothic"/>
                <w:b/>
                <w:color w:val="000000"/>
                <w:sz w:val="20"/>
                <w:szCs w:val="20"/>
              </w:rPr>
              <w:t>☐</w:t>
            </w:r>
          </w:p>
        </w:tc>
      </w:tr>
      <w:tr w:rsidR="000674DE" w14:paraId="0E5074E7" w14:textId="77777777" w:rsidTr="002803F7">
        <w:trPr>
          <w:trHeight w:val="220"/>
        </w:trPr>
        <w:tc>
          <w:tcPr>
            <w:tcW w:w="433" w:type="dxa"/>
            <w:tcBorders>
              <w:bottom w:val="single" w:sz="4" w:space="0" w:color="000000"/>
            </w:tcBorders>
          </w:tcPr>
          <w:p w14:paraId="0A4A73AD"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6544752F"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Risks to subjects are reasonable in relation to anticipated benefits, if any, to subjects, and the importance of the knowledge that may reasonably be expected to result.</w:t>
            </w:r>
            <w:r>
              <w:rPr>
                <w:rFonts w:ascii="Arial Narrow" w:eastAsia="Arial Narrow" w:hAnsi="Arial Narrow" w:cs="Arial Narrow"/>
                <w:color w:val="000000"/>
                <w:sz w:val="20"/>
                <w:szCs w:val="20"/>
                <w:vertAlign w:val="superscript"/>
              </w:rPr>
              <w:footnoteReference w:id="1"/>
            </w:r>
          </w:p>
        </w:tc>
      </w:tr>
      <w:tr w:rsidR="000674DE" w14:paraId="78DAB1B8" w14:textId="77777777" w:rsidTr="002803F7">
        <w:trPr>
          <w:trHeight w:val="220"/>
        </w:trPr>
        <w:tc>
          <w:tcPr>
            <w:tcW w:w="433" w:type="dxa"/>
            <w:tcBorders>
              <w:bottom w:val="single" w:sz="4" w:space="0" w:color="000000"/>
            </w:tcBorders>
          </w:tcPr>
          <w:p w14:paraId="3FA179D1"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30CB0DBC"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Selection of subjects is equitable.</w:t>
            </w:r>
            <w:r>
              <w:rPr>
                <w:rFonts w:ascii="Arial Narrow" w:eastAsia="Arial Narrow" w:hAnsi="Arial Narrow" w:cs="Arial Narrow"/>
                <w:color w:val="000000"/>
                <w:sz w:val="20"/>
                <w:szCs w:val="20"/>
                <w:vertAlign w:val="superscript"/>
              </w:rPr>
              <w:footnoteReference w:id="2"/>
            </w:r>
            <w:r>
              <w:rPr>
                <w:rFonts w:ascii="Arial Narrow" w:eastAsia="Arial Narrow" w:hAnsi="Arial Narrow" w:cs="Arial Narrow"/>
                <w:color w:val="000000"/>
                <w:sz w:val="20"/>
                <w:szCs w:val="20"/>
              </w:rPr>
              <w:t xml:space="preserve"> (Consider the purpose and setting of the research, involvement of vulnerable subjects, selection criteria, and recruitment, enrollment, and payment procedures.)</w:t>
            </w:r>
          </w:p>
        </w:tc>
      </w:tr>
      <w:tr w:rsidR="000674DE" w14:paraId="77461AEE" w14:textId="77777777" w:rsidTr="002803F7">
        <w:trPr>
          <w:trHeight w:val="220"/>
        </w:trPr>
        <w:tc>
          <w:tcPr>
            <w:tcW w:w="433" w:type="dxa"/>
            <w:tcBorders>
              <w:bottom w:val="single" w:sz="4" w:space="0" w:color="000000"/>
            </w:tcBorders>
          </w:tcPr>
          <w:p w14:paraId="78E0EA88"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67926C00"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research plan makes adequate provision for monitoring the data collected to ensure the safety of subjects. </w:t>
            </w:r>
            <w:r>
              <w:rPr>
                <w:rFonts w:ascii="Arial Narrow" w:eastAsia="Arial Narrow" w:hAnsi="Arial Narrow" w:cs="Arial Narrow"/>
                <w:b/>
                <w:color w:val="000000"/>
                <w:sz w:val="20"/>
                <w:szCs w:val="20"/>
              </w:rPr>
              <w:t xml:space="preserve">(“N/A” if </w:t>
            </w:r>
            <w:r>
              <w:rPr>
                <w:rFonts w:ascii="Arial Narrow" w:eastAsia="Arial Narrow" w:hAnsi="Arial Narrow" w:cs="Arial Narrow"/>
                <w:b/>
                <w:color w:val="000000"/>
                <w:sz w:val="20"/>
                <w:szCs w:val="20"/>
                <w:u w:val="single"/>
              </w:rPr>
              <w:t>&lt;</w:t>
            </w:r>
            <w:r>
              <w:rPr>
                <w:rFonts w:ascii="Arial Narrow" w:eastAsia="Arial Narrow" w:hAnsi="Arial Narrow" w:cs="Arial Narrow"/>
                <w:b/>
                <w:color w:val="000000"/>
                <w:sz w:val="20"/>
                <w:szCs w:val="20"/>
              </w:rPr>
              <w:t xml:space="preserve"> </w:t>
            </w:r>
            <w:r>
              <w:rPr>
                <w:rFonts w:ascii="Arial Narrow" w:eastAsia="Arial Narrow" w:hAnsi="Arial Narrow" w:cs="Arial Narrow"/>
                <w:b/>
                <w:color w:val="000000"/>
                <w:sz w:val="20"/>
                <w:szCs w:val="20"/>
                <w:u w:val="single"/>
              </w:rPr>
              <w:t>Minimal Risk</w:t>
            </w:r>
            <w:r>
              <w:rPr>
                <w:rFonts w:ascii="Arial Narrow" w:eastAsia="Arial Narrow" w:hAnsi="Arial Narrow" w:cs="Arial Narrow"/>
                <w:b/>
                <w:color w:val="000000"/>
                <w:sz w:val="20"/>
                <w:szCs w:val="20"/>
              </w:rPr>
              <w:t xml:space="preserve">)  N/A: </w:t>
            </w:r>
            <w:r>
              <w:rPr>
                <w:rFonts w:ascii="MS Gothic" w:eastAsia="MS Gothic" w:hAnsi="MS Gothic" w:cs="MS Gothic"/>
                <w:b/>
                <w:color w:val="000000"/>
                <w:sz w:val="20"/>
                <w:szCs w:val="20"/>
              </w:rPr>
              <w:t>☐</w:t>
            </w:r>
          </w:p>
        </w:tc>
      </w:tr>
      <w:tr w:rsidR="000674DE" w14:paraId="601BAE54" w14:textId="77777777" w:rsidTr="002803F7">
        <w:trPr>
          <w:trHeight w:val="220"/>
        </w:trPr>
        <w:tc>
          <w:tcPr>
            <w:tcW w:w="433" w:type="dxa"/>
            <w:tcBorders>
              <w:bottom w:val="single" w:sz="4" w:space="0" w:color="000000"/>
            </w:tcBorders>
          </w:tcPr>
          <w:p w14:paraId="578421FB"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03188E67"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There are adequate provisions to protect the privacy of subjects.</w:t>
            </w:r>
          </w:p>
        </w:tc>
      </w:tr>
      <w:tr w:rsidR="000674DE" w14:paraId="32540BC8" w14:textId="77777777" w:rsidTr="002803F7">
        <w:trPr>
          <w:trHeight w:val="220"/>
        </w:trPr>
        <w:tc>
          <w:tcPr>
            <w:tcW w:w="433" w:type="dxa"/>
            <w:tcBorders>
              <w:bottom w:val="single" w:sz="4" w:space="0" w:color="000000"/>
            </w:tcBorders>
          </w:tcPr>
          <w:p w14:paraId="20FBAD1A"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722C8E17"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There are adequate provisions to maintain the confidentiality of data.</w:t>
            </w:r>
            <w:r>
              <w:rPr>
                <w:rFonts w:ascii="Arial Narrow" w:eastAsia="Arial Narrow" w:hAnsi="Arial Narrow" w:cs="Arial Narrow"/>
                <w:color w:val="000000"/>
                <w:sz w:val="20"/>
                <w:szCs w:val="20"/>
                <w:vertAlign w:val="superscript"/>
              </w:rPr>
              <w:footnoteReference w:id="3"/>
            </w:r>
          </w:p>
        </w:tc>
      </w:tr>
      <w:tr w:rsidR="000674DE" w14:paraId="24BC6AE5" w14:textId="77777777" w:rsidTr="002803F7">
        <w:trPr>
          <w:trHeight w:val="220"/>
        </w:trPr>
        <w:tc>
          <w:tcPr>
            <w:tcW w:w="433" w:type="dxa"/>
            <w:tcBorders>
              <w:bottom w:val="single" w:sz="4" w:space="0" w:color="000000"/>
            </w:tcBorders>
          </w:tcPr>
          <w:p w14:paraId="5D54C235"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bottom w:val="single" w:sz="4" w:space="0" w:color="000000"/>
            </w:tcBorders>
          </w:tcPr>
          <w:p w14:paraId="17AB6132"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Additional safeguards have been included in the study to protect the rights and welfare of subjects vulnerable to coercion or undue influence.</w:t>
            </w:r>
            <w:r>
              <w:rPr>
                <w:rFonts w:ascii="Arial Narrow" w:eastAsia="Arial Narrow" w:hAnsi="Arial Narrow" w:cs="Arial Narrow"/>
                <w:color w:val="000000"/>
                <w:sz w:val="20"/>
                <w:szCs w:val="20"/>
                <w:vertAlign w:val="superscript"/>
              </w:rPr>
              <w:footnoteReference w:id="4"/>
            </w:r>
            <w:r>
              <w:rPr>
                <w:rFonts w:ascii="Arial Narrow" w:eastAsia="Arial Narrow" w:hAnsi="Arial Narrow" w:cs="Arial Narrow"/>
                <w:b/>
                <w:color w:val="000000"/>
                <w:sz w:val="20"/>
                <w:szCs w:val="20"/>
              </w:rPr>
              <w:t xml:space="preserve"> (“N/A” if no vulnerable subjects)  N/A: </w:t>
            </w:r>
            <w:r>
              <w:rPr>
                <w:rFonts w:ascii="MS Gothic" w:eastAsia="MS Gothic" w:hAnsi="MS Gothic" w:cs="MS Gothic"/>
                <w:b/>
                <w:color w:val="000000"/>
                <w:sz w:val="20"/>
                <w:szCs w:val="20"/>
              </w:rPr>
              <w:t>☐</w:t>
            </w:r>
          </w:p>
        </w:tc>
      </w:tr>
      <w:tr w:rsidR="000674DE" w14:paraId="008FDABE" w14:textId="77777777" w:rsidTr="002803F7">
        <w:trPr>
          <w:trHeight w:val="220"/>
        </w:trPr>
        <w:tc>
          <w:tcPr>
            <w:tcW w:w="433" w:type="dxa"/>
            <w:vMerge w:val="restart"/>
            <w:tcBorders>
              <w:right w:val="single" w:sz="4" w:space="0" w:color="000000"/>
            </w:tcBorders>
          </w:tcPr>
          <w:p w14:paraId="6B5DA1B7"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single" w:sz="4" w:space="0" w:color="000000"/>
              <w:left w:val="single" w:sz="4" w:space="0" w:color="000000"/>
              <w:bottom w:val="nil"/>
              <w:right w:val="single" w:sz="4" w:space="0" w:color="000000"/>
            </w:tcBorders>
          </w:tcPr>
          <w:p w14:paraId="0211D11C" w14:textId="38ADDC5E"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informed consent process meets one of these sections or checklists</w:t>
            </w:r>
            <w:r w:rsidR="00D92578">
              <w:rPr>
                <w:rFonts w:ascii="Arial Narrow" w:eastAsia="Arial Narrow" w:hAnsi="Arial Narrow" w:cs="Arial Narrow"/>
                <w:color w:val="000000"/>
                <w:sz w:val="20"/>
                <w:szCs w:val="20"/>
              </w:rPr>
              <w:t>:</w:t>
            </w:r>
          </w:p>
        </w:tc>
      </w:tr>
      <w:tr w:rsidR="000674DE" w14:paraId="379461D0" w14:textId="77777777" w:rsidTr="002803F7">
        <w:trPr>
          <w:trHeight w:val="220"/>
        </w:trPr>
        <w:tc>
          <w:tcPr>
            <w:tcW w:w="433" w:type="dxa"/>
            <w:vMerge/>
            <w:tcBorders>
              <w:right w:val="single" w:sz="4" w:space="0" w:color="000000"/>
            </w:tcBorders>
          </w:tcPr>
          <w:p w14:paraId="29C76E03" w14:textId="77777777" w:rsidR="000674DE" w:rsidRDefault="000674D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589" w:type="dxa"/>
            <w:gridSpan w:val="2"/>
            <w:tcBorders>
              <w:top w:val="nil"/>
              <w:left w:val="single" w:sz="4" w:space="0" w:color="000000"/>
              <w:bottom w:val="single" w:sz="4" w:space="0" w:color="000000"/>
              <w:right w:val="nil"/>
            </w:tcBorders>
            <w:tcMar>
              <w:left w:w="29" w:type="dxa"/>
              <w:right w:w="29" w:type="dxa"/>
            </w:tcMar>
            <w:vAlign w:val="bottom"/>
          </w:tcPr>
          <w:p w14:paraId="62D44266"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Section 5: Consent Process</w:t>
            </w:r>
          </w:p>
        </w:tc>
        <w:tc>
          <w:tcPr>
            <w:tcW w:w="4361" w:type="dxa"/>
            <w:gridSpan w:val="2"/>
            <w:tcBorders>
              <w:top w:val="nil"/>
              <w:left w:val="nil"/>
              <w:bottom w:val="single" w:sz="4" w:space="0" w:color="000000"/>
              <w:right w:val="nil"/>
            </w:tcBorders>
            <w:tcMar>
              <w:left w:w="29" w:type="dxa"/>
              <w:right w:w="29" w:type="dxa"/>
            </w:tcMar>
            <w:vAlign w:val="bottom"/>
          </w:tcPr>
          <w:p w14:paraId="04041D89"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Waiver or alteration of consent process (HRP-410)</w:t>
            </w:r>
          </w:p>
        </w:tc>
        <w:tc>
          <w:tcPr>
            <w:tcW w:w="3366" w:type="dxa"/>
            <w:gridSpan w:val="2"/>
            <w:tcBorders>
              <w:top w:val="nil"/>
              <w:left w:val="nil"/>
              <w:bottom w:val="single" w:sz="4" w:space="0" w:color="000000"/>
              <w:right w:val="single" w:sz="4" w:space="0" w:color="000000"/>
            </w:tcBorders>
            <w:tcMar>
              <w:left w:w="29" w:type="dxa"/>
              <w:right w:w="29" w:type="dxa"/>
            </w:tcMar>
            <w:vAlign w:val="bottom"/>
          </w:tcPr>
          <w:p w14:paraId="2CEDBDBA"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Permanently closed to enrollment</w:t>
            </w:r>
          </w:p>
        </w:tc>
      </w:tr>
      <w:tr w:rsidR="000674DE" w14:paraId="471DAE07" w14:textId="77777777" w:rsidTr="002803F7">
        <w:tc>
          <w:tcPr>
            <w:tcW w:w="433" w:type="dxa"/>
            <w:vMerge w:val="restart"/>
            <w:tcBorders>
              <w:top w:val="single" w:sz="4" w:space="0" w:color="000000"/>
              <w:left w:val="single" w:sz="4" w:space="0" w:color="000000"/>
              <w:right w:val="single" w:sz="4" w:space="0" w:color="000000"/>
            </w:tcBorders>
          </w:tcPr>
          <w:p w14:paraId="527928DA"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single" w:sz="4" w:space="0" w:color="000000"/>
              <w:left w:val="single" w:sz="4" w:space="0" w:color="000000"/>
              <w:bottom w:val="nil"/>
              <w:right w:val="single" w:sz="4" w:space="0" w:color="000000"/>
            </w:tcBorders>
          </w:tcPr>
          <w:p w14:paraId="0D210731" w14:textId="160679B6"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informed consent documentation meets one of these sections, worksheets, or checklists</w:t>
            </w:r>
            <w:r w:rsidR="00D92578">
              <w:rPr>
                <w:rFonts w:ascii="Arial Narrow" w:eastAsia="Arial Narrow" w:hAnsi="Arial Narrow" w:cs="Arial Narrow"/>
                <w:color w:val="000000"/>
                <w:sz w:val="20"/>
                <w:szCs w:val="20"/>
              </w:rPr>
              <w:t>:</w:t>
            </w:r>
          </w:p>
        </w:tc>
      </w:tr>
      <w:tr w:rsidR="000674DE" w14:paraId="3FFF1214" w14:textId="77777777" w:rsidTr="002803F7">
        <w:tc>
          <w:tcPr>
            <w:tcW w:w="433" w:type="dxa"/>
            <w:vMerge/>
            <w:tcBorders>
              <w:top w:val="single" w:sz="4" w:space="0" w:color="000000"/>
              <w:left w:val="single" w:sz="4" w:space="0" w:color="000000"/>
              <w:right w:val="single" w:sz="4" w:space="0" w:color="000000"/>
            </w:tcBorders>
          </w:tcPr>
          <w:p w14:paraId="58AA2A78" w14:textId="77777777" w:rsidR="000674DE" w:rsidRDefault="000674DE">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589" w:type="dxa"/>
            <w:gridSpan w:val="2"/>
            <w:tcBorders>
              <w:top w:val="nil"/>
              <w:left w:val="single" w:sz="4" w:space="0" w:color="000000"/>
              <w:bottom w:val="nil"/>
              <w:right w:val="nil"/>
            </w:tcBorders>
            <w:tcMar>
              <w:left w:w="29" w:type="dxa"/>
              <w:right w:w="29" w:type="dxa"/>
            </w:tcMar>
            <w:vAlign w:val="bottom"/>
          </w:tcPr>
          <w:p w14:paraId="132C14F7"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Section 6: Long Form </w:t>
            </w:r>
          </w:p>
        </w:tc>
        <w:tc>
          <w:tcPr>
            <w:tcW w:w="4361" w:type="dxa"/>
            <w:gridSpan w:val="2"/>
            <w:tcBorders>
              <w:top w:val="nil"/>
              <w:left w:val="nil"/>
              <w:bottom w:val="nil"/>
              <w:right w:val="nil"/>
            </w:tcBorders>
            <w:tcMar>
              <w:left w:w="29" w:type="dxa"/>
              <w:right w:w="29" w:type="dxa"/>
            </w:tcMar>
            <w:vAlign w:val="bottom"/>
          </w:tcPr>
          <w:p w14:paraId="1D2CF344"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Waiver of documentation (HRP-411)</w:t>
            </w:r>
          </w:p>
        </w:tc>
        <w:tc>
          <w:tcPr>
            <w:tcW w:w="3366" w:type="dxa"/>
            <w:gridSpan w:val="2"/>
            <w:tcBorders>
              <w:top w:val="nil"/>
              <w:left w:val="nil"/>
              <w:bottom w:val="nil"/>
              <w:right w:val="single" w:sz="4" w:space="0" w:color="000000"/>
            </w:tcBorders>
            <w:tcMar>
              <w:left w:w="29" w:type="dxa"/>
              <w:right w:w="29" w:type="dxa"/>
            </w:tcMar>
            <w:vAlign w:val="bottom"/>
          </w:tcPr>
          <w:p w14:paraId="607D3FA2"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Permanently closed to enrollment</w:t>
            </w:r>
          </w:p>
        </w:tc>
      </w:tr>
      <w:tr w:rsidR="000674DE" w14:paraId="232889E8" w14:textId="77777777" w:rsidTr="002803F7">
        <w:tc>
          <w:tcPr>
            <w:tcW w:w="433" w:type="dxa"/>
            <w:vMerge/>
            <w:tcBorders>
              <w:top w:val="single" w:sz="4" w:space="0" w:color="000000"/>
              <w:left w:val="single" w:sz="4" w:space="0" w:color="000000"/>
              <w:right w:val="single" w:sz="4" w:space="0" w:color="000000"/>
            </w:tcBorders>
          </w:tcPr>
          <w:p w14:paraId="37655625" w14:textId="77777777" w:rsidR="000674DE" w:rsidRDefault="000674DE">
            <w:pPr>
              <w:widowControl w:val="0"/>
              <w:pBdr>
                <w:top w:val="nil"/>
                <w:left w:val="nil"/>
                <w:bottom w:val="nil"/>
                <w:right w:val="nil"/>
                <w:between w:val="nil"/>
              </w:pBdr>
              <w:spacing w:line="276" w:lineRule="auto"/>
              <w:rPr>
                <w:rFonts w:ascii="Arial Narrow" w:eastAsia="Arial Narrow" w:hAnsi="Arial Narrow" w:cs="Arial Narrow"/>
                <w:b/>
                <w:color w:val="000000"/>
                <w:sz w:val="20"/>
                <w:szCs w:val="20"/>
              </w:rPr>
            </w:pPr>
          </w:p>
        </w:tc>
        <w:tc>
          <w:tcPr>
            <w:tcW w:w="2589" w:type="dxa"/>
            <w:gridSpan w:val="2"/>
            <w:tcBorders>
              <w:top w:val="nil"/>
              <w:left w:val="single" w:sz="4" w:space="0" w:color="000000"/>
              <w:bottom w:val="single" w:sz="4" w:space="0" w:color="000000"/>
              <w:right w:val="nil"/>
            </w:tcBorders>
            <w:tcMar>
              <w:left w:w="29" w:type="dxa"/>
              <w:right w:w="29" w:type="dxa"/>
            </w:tcMar>
            <w:vAlign w:val="bottom"/>
          </w:tcPr>
          <w:p w14:paraId="45A68ADB"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Short Form (HRP-317)</w:t>
            </w:r>
          </w:p>
        </w:tc>
        <w:tc>
          <w:tcPr>
            <w:tcW w:w="4361" w:type="dxa"/>
            <w:gridSpan w:val="2"/>
            <w:tcBorders>
              <w:top w:val="nil"/>
              <w:left w:val="nil"/>
              <w:bottom w:val="single" w:sz="4" w:space="0" w:color="000000"/>
              <w:right w:val="nil"/>
            </w:tcBorders>
            <w:tcMar>
              <w:left w:w="29" w:type="dxa"/>
              <w:right w:w="29" w:type="dxa"/>
            </w:tcMar>
            <w:vAlign w:val="bottom"/>
          </w:tcPr>
          <w:p w14:paraId="2129BCFE"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Waiver or alteration of consent process (HRP-410)</w:t>
            </w:r>
          </w:p>
        </w:tc>
        <w:tc>
          <w:tcPr>
            <w:tcW w:w="3366" w:type="dxa"/>
            <w:gridSpan w:val="2"/>
            <w:tcBorders>
              <w:top w:val="nil"/>
              <w:left w:val="nil"/>
              <w:bottom w:val="single" w:sz="4" w:space="0" w:color="000000"/>
              <w:right w:val="single" w:sz="4" w:space="0" w:color="000000"/>
            </w:tcBorders>
            <w:tcMar>
              <w:left w:w="29" w:type="dxa"/>
              <w:right w:w="29" w:type="dxa"/>
            </w:tcMar>
            <w:vAlign w:val="bottom"/>
          </w:tcPr>
          <w:p w14:paraId="5944100C" w14:textId="77777777" w:rsidR="000674DE" w:rsidRDefault="000674DE">
            <w:pPr>
              <w:pBdr>
                <w:top w:val="nil"/>
                <w:left w:val="nil"/>
                <w:bottom w:val="nil"/>
                <w:right w:val="nil"/>
                <w:between w:val="nil"/>
              </w:pBdr>
              <w:rPr>
                <w:rFonts w:ascii="Arial Narrow" w:eastAsia="Arial Narrow" w:hAnsi="Arial Narrow" w:cs="Arial Narrow"/>
                <w:b/>
                <w:color w:val="000000"/>
                <w:sz w:val="20"/>
                <w:szCs w:val="20"/>
              </w:rPr>
            </w:pPr>
          </w:p>
        </w:tc>
      </w:tr>
      <w:tr w:rsidR="000674DE" w14:paraId="55BEC7EC" w14:textId="77777777" w:rsidTr="002803F7">
        <w:tc>
          <w:tcPr>
            <w:tcW w:w="433" w:type="dxa"/>
            <w:tcBorders>
              <w:top w:val="single" w:sz="4" w:space="0" w:color="000000"/>
              <w:left w:val="single" w:sz="4" w:space="0" w:color="000000"/>
              <w:right w:val="single" w:sz="4" w:space="0" w:color="000000"/>
            </w:tcBorders>
          </w:tcPr>
          <w:p w14:paraId="653F522F"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single" w:sz="4" w:space="0" w:color="000000"/>
              <w:left w:val="single" w:sz="4" w:space="0" w:color="000000"/>
              <w:bottom w:val="nil"/>
              <w:right w:val="single" w:sz="4" w:space="0" w:color="000000"/>
            </w:tcBorders>
          </w:tcPr>
          <w:p w14:paraId="4940CB29"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Additional applicable criteria</w:t>
            </w:r>
            <w:r>
              <w:rPr>
                <w:rFonts w:ascii="Arial Narrow" w:eastAsia="Arial Narrow" w:hAnsi="Arial Narrow" w:cs="Arial Narrow"/>
                <w:color w:val="000000"/>
                <w:sz w:val="20"/>
                <w:szCs w:val="20"/>
                <w:vertAlign w:val="superscript"/>
              </w:rPr>
              <w:footnoteReference w:id="5"/>
            </w:r>
            <w:r>
              <w:rPr>
                <w:rFonts w:ascii="Arial Narrow" w:eastAsia="Arial Narrow" w:hAnsi="Arial Narrow" w:cs="Arial Narrow"/>
                <w:color w:val="000000"/>
                <w:sz w:val="20"/>
                <w:szCs w:val="20"/>
              </w:rPr>
              <w:t xml:space="preserve"> are met </w:t>
            </w:r>
            <w:r>
              <w:rPr>
                <w:rFonts w:ascii="Arial Narrow" w:eastAsia="Arial Narrow" w:hAnsi="Arial Narrow" w:cs="Arial Narrow"/>
                <w:b/>
                <w:color w:val="000000"/>
                <w:sz w:val="20"/>
                <w:szCs w:val="20"/>
              </w:rPr>
              <w:t>(“N/A” if none)</w:t>
            </w:r>
          </w:p>
        </w:tc>
      </w:tr>
      <w:tr w:rsidR="000674DE" w14:paraId="4B57929D" w14:textId="77777777" w:rsidTr="002803F7">
        <w:trPr>
          <w:trHeight w:val="60"/>
        </w:trPr>
        <w:tc>
          <w:tcPr>
            <w:tcW w:w="10748" w:type="dxa"/>
            <w:gridSpan w:val="7"/>
            <w:tcBorders>
              <w:bottom w:val="single" w:sz="4" w:space="0" w:color="000000"/>
            </w:tcBorders>
            <w:shd w:val="clear" w:color="auto" w:fill="000000"/>
          </w:tcPr>
          <w:p w14:paraId="13089562" w14:textId="77777777" w:rsidR="000674DE" w:rsidRDefault="000674DE">
            <w:pPr>
              <w:pBdr>
                <w:top w:val="nil"/>
                <w:left w:val="nil"/>
                <w:bottom w:val="nil"/>
                <w:right w:val="nil"/>
                <w:between w:val="nil"/>
              </w:pBdr>
              <w:rPr>
                <w:rFonts w:ascii="Arial Narrow" w:eastAsia="Arial Narrow" w:hAnsi="Arial Narrow" w:cs="Arial Narrow"/>
                <w:color w:val="000000"/>
                <w:sz w:val="20"/>
                <w:szCs w:val="20"/>
              </w:rPr>
            </w:pPr>
          </w:p>
        </w:tc>
      </w:tr>
      <w:tr w:rsidR="000674DE" w14:paraId="1A56435E" w14:textId="77777777" w:rsidTr="002803F7">
        <w:tc>
          <w:tcPr>
            <w:tcW w:w="10748" w:type="dxa"/>
            <w:gridSpan w:val="7"/>
            <w:tcBorders>
              <w:top w:val="nil"/>
              <w:left w:val="single" w:sz="4" w:space="0" w:color="000000"/>
              <w:bottom w:val="single" w:sz="4" w:space="0" w:color="000000"/>
              <w:right w:val="single" w:sz="4" w:space="0" w:color="000000"/>
            </w:tcBorders>
          </w:tcPr>
          <w:p w14:paraId="79A06BD8" w14:textId="77777777" w:rsidR="000674DE" w:rsidRDefault="003F2952">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lastRenderedPageBreak/>
              <w:t>Additional Considerations (</w:t>
            </w:r>
            <w:r>
              <w:rPr>
                <w:rFonts w:ascii="Arial Narrow" w:eastAsia="Arial Narrow" w:hAnsi="Arial Narrow" w:cs="Arial Narrow"/>
                <w:color w:val="000000"/>
                <w:sz w:val="20"/>
                <w:szCs w:val="20"/>
              </w:rPr>
              <w:t>Check all that apply.)</w:t>
            </w:r>
          </w:p>
        </w:tc>
      </w:tr>
      <w:tr w:rsidR="000674DE" w14:paraId="07BD096A" w14:textId="77777777" w:rsidTr="002803F7">
        <w:tc>
          <w:tcPr>
            <w:tcW w:w="433" w:type="dxa"/>
            <w:tcBorders>
              <w:top w:val="nil"/>
              <w:left w:val="single" w:sz="4" w:space="0" w:color="000000"/>
              <w:bottom w:val="single" w:sz="4" w:space="0" w:color="000000"/>
              <w:right w:val="single" w:sz="4" w:space="0" w:color="000000"/>
            </w:tcBorders>
          </w:tcPr>
          <w:p w14:paraId="7A633766"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4B51447B"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Does the research involve no more than </w:t>
            </w:r>
            <w:r>
              <w:rPr>
                <w:rFonts w:ascii="Arial Narrow" w:eastAsia="Arial Narrow" w:hAnsi="Arial Narrow" w:cs="Arial Narrow"/>
                <w:color w:val="000000"/>
                <w:sz w:val="20"/>
                <w:szCs w:val="20"/>
                <w:u w:val="single"/>
              </w:rPr>
              <w:t>Minimal Risk</w:t>
            </w:r>
            <w:r>
              <w:rPr>
                <w:rFonts w:ascii="Arial Narrow" w:eastAsia="Arial Narrow" w:hAnsi="Arial Narrow" w:cs="Arial Narrow"/>
                <w:color w:val="000000"/>
                <w:sz w:val="20"/>
                <w:szCs w:val="20"/>
              </w:rPr>
              <w:t xml:space="preserve"> to subjects?</w:t>
            </w:r>
          </w:p>
        </w:tc>
      </w:tr>
      <w:tr w:rsidR="000674DE" w14:paraId="294FFC1A" w14:textId="77777777" w:rsidTr="002803F7">
        <w:tc>
          <w:tcPr>
            <w:tcW w:w="433" w:type="dxa"/>
            <w:tcBorders>
              <w:top w:val="nil"/>
              <w:left w:val="single" w:sz="4" w:space="0" w:color="000000"/>
              <w:bottom w:val="single" w:sz="4" w:space="0" w:color="000000"/>
              <w:right w:val="single" w:sz="4" w:space="0" w:color="000000"/>
            </w:tcBorders>
          </w:tcPr>
          <w:p w14:paraId="7A1EDC1B"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0CEEE548" w14:textId="2F61C0EB"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Does the research require </w:t>
            </w:r>
            <w:r w:rsidR="00D92578">
              <w:rPr>
                <w:rFonts w:ascii="Arial Narrow" w:eastAsia="Arial Narrow" w:hAnsi="Arial Narrow" w:cs="Arial Narrow"/>
                <w:color w:val="000000"/>
                <w:sz w:val="20"/>
                <w:szCs w:val="20"/>
              </w:rPr>
              <w:t>c</w:t>
            </w:r>
            <w:r>
              <w:rPr>
                <w:rFonts w:ascii="Arial Narrow" w:eastAsia="Arial Narrow" w:hAnsi="Arial Narrow" w:cs="Arial Narrow"/>
                <w:color w:val="000000"/>
                <w:sz w:val="20"/>
                <w:szCs w:val="20"/>
              </w:rPr>
              <w:t xml:space="preserve">ontinuing review? </w:t>
            </w:r>
            <w:r>
              <w:rPr>
                <w:rFonts w:ascii="Arial Narrow" w:eastAsia="Arial Narrow" w:hAnsi="Arial Narrow" w:cs="Arial Narrow"/>
                <w:b/>
                <w:color w:val="000000"/>
                <w:sz w:val="20"/>
                <w:szCs w:val="20"/>
              </w:rPr>
              <w:t>(Note that for FDA or DOJ overseen research or research subject to Pre-2018 Requirements, there is no option not to require Continuing review.)</w:t>
            </w:r>
          </w:p>
          <w:p w14:paraId="43DEBD2B" w14:textId="5432B7BC"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research does not require </w:t>
            </w:r>
            <w:r w:rsidR="00D92578">
              <w:rPr>
                <w:rFonts w:ascii="Arial Narrow" w:eastAsia="Arial Narrow" w:hAnsi="Arial Narrow" w:cs="Arial Narrow"/>
                <w:color w:val="000000"/>
                <w:sz w:val="20"/>
                <w:szCs w:val="20"/>
              </w:rPr>
              <w:t>c</w:t>
            </w:r>
            <w:r>
              <w:rPr>
                <w:rFonts w:ascii="Arial Narrow" w:eastAsia="Arial Narrow" w:hAnsi="Arial Narrow" w:cs="Arial Narrow"/>
                <w:color w:val="000000"/>
                <w:sz w:val="20"/>
                <w:szCs w:val="20"/>
              </w:rPr>
              <w:t>ontinuing review if one of the following apply:</w:t>
            </w:r>
          </w:p>
          <w:p w14:paraId="530BF56F" w14:textId="541FCC53"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research is eligible for </w:t>
            </w:r>
            <w:r w:rsidR="002803F7">
              <w:rPr>
                <w:rFonts w:ascii="Arial Narrow" w:eastAsia="Arial Narrow" w:hAnsi="Arial Narrow" w:cs="Arial Narrow"/>
                <w:color w:val="000000"/>
                <w:sz w:val="20"/>
                <w:szCs w:val="20"/>
              </w:rPr>
              <w:t>single member (</w:t>
            </w:r>
            <w:r>
              <w:rPr>
                <w:rFonts w:ascii="Arial Narrow" w:eastAsia="Arial Narrow" w:hAnsi="Arial Narrow" w:cs="Arial Narrow"/>
                <w:color w:val="000000"/>
                <w:sz w:val="20"/>
                <w:szCs w:val="20"/>
              </w:rPr>
              <w:t>expedited</w:t>
            </w:r>
            <w:r w:rsidR="002803F7">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xml:space="preserve"> review. </w:t>
            </w:r>
            <w:r>
              <w:rPr>
                <w:rFonts w:ascii="Arial Narrow" w:eastAsia="Arial Narrow" w:hAnsi="Arial Narrow" w:cs="Arial Narrow"/>
                <w:b/>
                <w:color w:val="000000"/>
                <w:sz w:val="20"/>
                <w:szCs w:val="20"/>
              </w:rPr>
              <w:t xml:space="preserve">(See “WORKSHEET: </w:t>
            </w:r>
            <w:r w:rsidR="002803F7">
              <w:rPr>
                <w:rFonts w:ascii="Arial Narrow" w:eastAsia="Arial Narrow" w:hAnsi="Arial Narrow" w:cs="Arial Narrow"/>
                <w:b/>
                <w:color w:val="000000"/>
                <w:sz w:val="20"/>
                <w:szCs w:val="20"/>
              </w:rPr>
              <w:t xml:space="preserve">Single Member </w:t>
            </w:r>
            <w:r w:rsidR="00D92578">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Expedited</w:t>
            </w:r>
            <w:r w:rsidR="00D92578">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 xml:space="preserve"> Review HRP-313.”)</w:t>
            </w:r>
          </w:p>
          <w:p w14:paraId="0CD382DC" w14:textId="77777777" w:rsidR="000674DE" w:rsidRDefault="003F2952">
            <w:pPr>
              <w:pBdr>
                <w:top w:val="nil"/>
                <w:left w:val="nil"/>
                <w:bottom w:val="nil"/>
                <w:right w:val="nil"/>
                <w:between w:val="nil"/>
              </w:pBdr>
              <w:ind w:left="256" w:hanging="256"/>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0674DE" w14:paraId="52595408" w14:textId="77777777" w:rsidTr="002803F7">
        <w:tc>
          <w:tcPr>
            <w:tcW w:w="433" w:type="dxa"/>
            <w:tcBorders>
              <w:top w:val="nil"/>
              <w:left w:val="single" w:sz="4" w:space="0" w:color="000000"/>
              <w:bottom w:val="single" w:sz="4" w:space="0" w:color="000000"/>
              <w:right w:val="single" w:sz="4" w:space="0" w:color="000000"/>
            </w:tcBorders>
          </w:tcPr>
          <w:p w14:paraId="7C87448A"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6C5D4CD4"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Should review take place more often than annually?</w:t>
            </w:r>
            <w:r>
              <w:rPr>
                <w:rFonts w:ascii="Arial Narrow" w:eastAsia="Arial Narrow" w:hAnsi="Arial Narrow" w:cs="Arial Narrow"/>
                <w:color w:val="000000"/>
                <w:sz w:val="20"/>
                <w:szCs w:val="20"/>
                <w:vertAlign w:val="superscript"/>
              </w:rPr>
              <w:footnoteReference w:id="6"/>
            </w:r>
            <w:r>
              <w:rPr>
                <w:rFonts w:ascii="Arial Narrow" w:eastAsia="Arial Narrow" w:hAnsi="Arial Narrow" w:cs="Arial Narrow"/>
                <w:color w:val="000000"/>
                <w:sz w:val="20"/>
                <w:szCs w:val="20"/>
              </w:rPr>
              <w:t xml:space="preserve"> If so, specify period. </w:t>
            </w:r>
          </w:p>
        </w:tc>
      </w:tr>
      <w:tr w:rsidR="000674DE" w14:paraId="30D727E6" w14:textId="77777777" w:rsidTr="002803F7">
        <w:tc>
          <w:tcPr>
            <w:tcW w:w="433" w:type="dxa"/>
            <w:tcBorders>
              <w:top w:val="nil"/>
              <w:left w:val="single" w:sz="4" w:space="0" w:color="000000"/>
              <w:bottom w:val="single" w:sz="4" w:space="0" w:color="000000"/>
              <w:right w:val="single" w:sz="4" w:space="0" w:color="000000"/>
            </w:tcBorders>
          </w:tcPr>
          <w:p w14:paraId="47F989DA"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4B2A4CF5"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Is verification needed from sources other than the investigator that no material changes have occurred since prior review?</w:t>
            </w:r>
            <w:r>
              <w:rPr>
                <w:rFonts w:ascii="Arial Narrow" w:eastAsia="Arial Narrow" w:hAnsi="Arial Narrow" w:cs="Arial Narrow"/>
                <w:color w:val="000000"/>
                <w:sz w:val="20"/>
                <w:szCs w:val="20"/>
                <w:vertAlign w:val="superscript"/>
              </w:rPr>
              <w:footnoteReference w:id="7"/>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 xml:space="preserve">(“N/A” if initial)  N/A: </w:t>
            </w:r>
            <w:r>
              <w:rPr>
                <w:rFonts w:ascii="MS Gothic" w:eastAsia="MS Gothic" w:hAnsi="MS Gothic" w:cs="MS Gothic"/>
                <w:b/>
                <w:color w:val="000000"/>
                <w:sz w:val="20"/>
                <w:szCs w:val="20"/>
              </w:rPr>
              <w:t>☐</w:t>
            </w:r>
          </w:p>
        </w:tc>
      </w:tr>
      <w:tr w:rsidR="000674DE" w14:paraId="21C52E70" w14:textId="77777777" w:rsidTr="002803F7">
        <w:tc>
          <w:tcPr>
            <w:tcW w:w="433" w:type="dxa"/>
            <w:tcBorders>
              <w:top w:val="nil"/>
              <w:left w:val="single" w:sz="4" w:space="0" w:color="000000"/>
              <w:bottom w:val="single" w:sz="4" w:space="0" w:color="000000"/>
              <w:right w:val="single" w:sz="4" w:space="0" w:color="000000"/>
            </w:tcBorders>
          </w:tcPr>
          <w:p w14:paraId="492274AD"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361AC365" w14:textId="77777777" w:rsidR="00D92578"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Does information need to be provided to subjects because it may affect their willingness to continue participation? </w:t>
            </w:r>
            <w:r>
              <w:rPr>
                <w:rFonts w:ascii="Arial Narrow" w:eastAsia="Arial Narrow" w:hAnsi="Arial Narrow" w:cs="Arial Narrow"/>
                <w:b/>
                <w:color w:val="000000"/>
                <w:sz w:val="20"/>
                <w:szCs w:val="20"/>
              </w:rPr>
              <w:t xml:space="preserve">(“N/A” if initial) </w:t>
            </w:r>
          </w:p>
          <w:p w14:paraId="49E2EDAF" w14:textId="62EE6FCE"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N/A: </w:t>
            </w:r>
            <w:r>
              <w:rPr>
                <w:rFonts w:ascii="MS Gothic" w:eastAsia="MS Gothic" w:hAnsi="MS Gothic" w:cs="MS Gothic"/>
                <w:b/>
                <w:color w:val="000000"/>
                <w:sz w:val="20"/>
                <w:szCs w:val="20"/>
              </w:rPr>
              <w:t>☐</w:t>
            </w:r>
          </w:p>
        </w:tc>
      </w:tr>
      <w:tr w:rsidR="000674DE" w14:paraId="41F1D926" w14:textId="77777777" w:rsidTr="002803F7">
        <w:trPr>
          <w:trHeight w:val="60"/>
        </w:trPr>
        <w:tc>
          <w:tcPr>
            <w:tcW w:w="10748" w:type="dxa"/>
            <w:gridSpan w:val="7"/>
            <w:tcBorders>
              <w:bottom w:val="single" w:sz="4" w:space="0" w:color="000000"/>
            </w:tcBorders>
            <w:shd w:val="clear" w:color="auto" w:fill="000000"/>
          </w:tcPr>
          <w:p w14:paraId="24934CB1" w14:textId="77777777" w:rsidR="000674DE" w:rsidRDefault="000674DE">
            <w:pPr>
              <w:pBdr>
                <w:top w:val="nil"/>
                <w:left w:val="nil"/>
                <w:bottom w:val="nil"/>
                <w:right w:val="nil"/>
                <w:between w:val="nil"/>
              </w:pBdr>
              <w:rPr>
                <w:rFonts w:ascii="Arial Narrow" w:eastAsia="Arial Narrow" w:hAnsi="Arial Narrow" w:cs="Arial Narrow"/>
                <w:color w:val="000000"/>
                <w:sz w:val="20"/>
                <w:szCs w:val="20"/>
              </w:rPr>
            </w:pPr>
          </w:p>
        </w:tc>
      </w:tr>
      <w:tr w:rsidR="000674DE" w14:paraId="6C62EE33" w14:textId="77777777" w:rsidTr="002803F7">
        <w:tc>
          <w:tcPr>
            <w:tcW w:w="10748" w:type="dxa"/>
            <w:gridSpan w:val="7"/>
            <w:tcBorders>
              <w:top w:val="nil"/>
              <w:left w:val="single" w:sz="4" w:space="0" w:color="000000"/>
              <w:bottom w:val="single" w:sz="4" w:space="0" w:color="000000"/>
              <w:right w:val="single" w:sz="4" w:space="0" w:color="000000"/>
            </w:tcBorders>
          </w:tcPr>
          <w:p w14:paraId="76245F24" w14:textId="6A4DBFF7" w:rsidR="000674DE" w:rsidRDefault="003F2952">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t xml:space="preserve">Primary Reviewer Criteria for Initial review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 xml:space="preserve">“Yes” </w:t>
            </w:r>
            <w:r>
              <w:rPr>
                <w:rFonts w:ascii="Arial Narrow" w:eastAsia="Arial Narrow" w:hAnsi="Arial Narrow" w:cs="Arial Narrow"/>
                <w:color w:val="000000"/>
                <w:sz w:val="20"/>
                <w:szCs w:val="20"/>
              </w:rPr>
              <w:t>or</w:t>
            </w:r>
            <w:r>
              <w:rPr>
                <w:rFonts w:ascii="Arial Narrow" w:eastAsia="Arial Narrow" w:hAnsi="Arial Narrow" w:cs="Arial Narrow"/>
                <w:b/>
                <w:color w:val="000000"/>
                <w:sz w:val="20"/>
                <w:szCs w:val="20"/>
              </w:rPr>
              <w:t xml:space="preserve"> “N/A”</w:t>
            </w:r>
            <w:r>
              <w:rPr>
                <w:rFonts w:ascii="Arial Narrow" w:eastAsia="Arial Narrow" w:hAnsi="Arial Narrow" w:cs="Arial Narrow"/>
                <w:color w:val="000000"/>
                <w:sz w:val="20"/>
                <w:szCs w:val="20"/>
              </w:rPr>
              <w:t xml:space="preserve">. All </w:t>
            </w:r>
            <w:r w:rsidR="00C94794">
              <w:rPr>
                <w:rFonts w:ascii="Arial Narrow" w:eastAsia="Arial Narrow" w:hAnsi="Arial Narrow" w:cs="Arial Narrow"/>
                <w:color w:val="000000"/>
                <w:sz w:val="20"/>
                <w:szCs w:val="20"/>
              </w:rPr>
              <w:t xml:space="preserve">items </w:t>
            </w:r>
            <w:r>
              <w:rPr>
                <w:rFonts w:ascii="Arial Narrow" w:eastAsia="Arial Narrow" w:hAnsi="Arial Narrow" w:cs="Arial Narrow"/>
                <w:color w:val="000000"/>
                <w:sz w:val="20"/>
                <w:szCs w:val="20"/>
              </w:rPr>
              <w:t>must be checked; May be determined by a primary reviewer</w:t>
            </w:r>
            <w:r w:rsidR="00D92578">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0674DE" w14:paraId="6E0878AD" w14:textId="77777777" w:rsidTr="002803F7">
        <w:tc>
          <w:tcPr>
            <w:tcW w:w="433" w:type="dxa"/>
            <w:tcBorders>
              <w:top w:val="nil"/>
              <w:left w:val="single" w:sz="4" w:space="0" w:color="000000"/>
              <w:bottom w:val="single" w:sz="4" w:space="0" w:color="000000"/>
              <w:right w:val="single" w:sz="4" w:space="0" w:color="000000"/>
            </w:tcBorders>
          </w:tcPr>
          <w:p w14:paraId="2A58F9C3"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32728296"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research has the resources necessary to protect subjects. (Time to conduct and complete the research; adequate facilities, subject pool, and medical/psychosocial resources; qualified investigators and research staff; appropriate qualifications for international research.)</w:t>
            </w:r>
          </w:p>
        </w:tc>
      </w:tr>
      <w:tr w:rsidR="000674DE" w14:paraId="3E75C088" w14:textId="77777777" w:rsidTr="002803F7">
        <w:tc>
          <w:tcPr>
            <w:tcW w:w="433" w:type="dxa"/>
            <w:tcBorders>
              <w:top w:val="nil"/>
              <w:left w:val="single" w:sz="4" w:space="0" w:color="000000"/>
              <w:bottom w:val="single" w:sz="4" w:space="0" w:color="000000"/>
              <w:right w:val="single" w:sz="4" w:space="0" w:color="000000"/>
            </w:tcBorders>
          </w:tcPr>
          <w:p w14:paraId="560A69ED"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688E8449" w14:textId="77777777" w:rsidR="000674DE" w:rsidRDefault="003F2952">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 xml:space="preserve">The plan for communication among sites is adequate to protect subjects. </w:t>
            </w:r>
            <w:r>
              <w:rPr>
                <w:rFonts w:ascii="Arial Narrow" w:eastAsia="Arial Narrow" w:hAnsi="Arial Narrow" w:cs="Arial Narrow"/>
                <w:b/>
                <w:color w:val="000000"/>
                <w:sz w:val="20"/>
                <w:szCs w:val="20"/>
              </w:rPr>
              <w:t xml:space="preserve">(“N/A” if not a multicenter trial where PI is the lead or not initial)  N/A: </w:t>
            </w:r>
            <w:r>
              <w:rPr>
                <w:rFonts w:ascii="MS Gothic" w:eastAsia="MS Gothic" w:hAnsi="MS Gothic" w:cs="MS Gothic"/>
                <w:b/>
                <w:color w:val="000000"/>
                <w:sz w:val="20"/>
                <w:szCs w:val="20"/>
              </w:rPr>
              <w:t>☐</w:t>
            </w:r>
          </w:p>
        </w:tc>
      </w:tr>
      <w:tr w:rsidR="000674DE" w14:paraId="20AAE948" w14:textId="77777777" w:rsidTr="002803F7">
        <w:tc>
          <w:tcPr>
            <w:tcW w:w="433" w:type="dxa"/>
            <w:tcBorders>
              <w:top w:val="nil"/>
              <w:left w:val="single" w:sz="4" w:space="0" w:color="000000"/>
              <w:bottom w:val="single" w:sz="4" w:space="0" w:color="000000"/>
              <w:right w:val="single" w:sz="4" w:space="0" w:color="000000"/>
            </w:tcBorders>
          </w:tcPr>
          <w:p w14:paraId="4667FD58"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1E6EEDF1"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There are no inconsistencies between the HHS grant and protocol. </w:t>
            </w:r>
            <w:r>
              <w:rPr>
                <w:rFonts w:ascii="Arial Narrow" w:eastAsia="Arial Narrow" w:hAnsi="Arial Narrow" w:cs="Arial Narrow"/>
                <w:b/>
                <w:color w:val="000000"/>
                <w:sz w:val="20"/>
                <w:szCs w:val="20"/>
              </w:rPr>
              <w:t xml:space="preserve">(“N/A” if research subject to 2018 Requirements or if there is no HHS grant.)  N/A: </w:t>
            </w:r>
            <w:r>
              <w:rPr>
                <w:rFonts w:ascii="MS Gothic" w:eastAsia="MS Gothic" w:hAnsi="MS Gothic" w:cs="MS Gothic"/>
                <w:b/>
                <w:color w:val="000000"/>
                <w:sz w:val="20"/>
                <w:szCs w:val="20"/>
              </w:rPr>
              <w:t>☐</w:t>
            </w:r>
          </w:p>
        </w:tc>
      </w:tr>
      <w:tr w:rsidR="000674DE" w14:paraId="1A465477" w14:textId="77777777" w:rsidTr="002803F7">
        <w:tc>
          <w:tcPr>
            <w:tcW w:w="10748" w:type="dxa"/>
            <w:gridSpan w:val="7"/>
            <w:tcBorders>
              <w:bottom w:val="single" w:sz="4" w:space="0" w:color="000000"/>
            </w:tcBorders>
            <w:shd w:val="clear" w:color="auto" w:fill="000000"/>
          </w:tcPr>
          <w:p w14:paraId="57C42182" w14:textId="77777777" w:rsidR="000674DE" w:rsidRDefault="003F295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Complete remaining items when applicable</w:t>
            </w:r>
          </w:p>
        </w:tc>
      </w:tr>
      <w:tr w:rsidR="000674DE" w14:paraId="3A1DC5B9" w14:textId="77777777" w:rsidTr="002803F7">
        <w:tc>
          <w:tcPr>
            <w:tcW w:w="10748" w:type="dxa"/>
            <w:gridSpan w:val="7"/>
            <w:tcBorders>
              <w:top w:val="nil"/>
              <w:left w:val="single" w:sz="4" w:space="0" w:color="000000"/>
              <w:bottom w:val="single" w:sz="4" w:space="0" w:color="000000"/>
              <w:right w:val="single" w:sz="4" w:space="0" w:color="000000"/>
            </w:tcBorders>
          </w:tcPr>
          <w:p w14:paraId="172323B6" w14:textId="6B9AEA39" w:rsidR="000674DE" w:rsidRDefault="003F2952">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t xml:space="preserve">Consent Process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“Yes”</w:t>
            </w:r>
            <w:r>
              <w:rPr>
                <w:rFonts w:ascii="Arial Narrow" w:eastAsia="Arial Narrow" w:hAnsi="Arial Narrow" w:cs="Arial Narrow"/>
                <w:color w:val="000000"/>
                <w:sz w:val="20"/>
                <w:szCs w:val="20"/>
              </w:rPr>
              <w:t xml:space="preserve">. All </w:t>
            </w:r>
            <w:r w:rsidR="00C94794">
              <w:rPr>
                <w:rFonts w:ascii="Arial Narrow" w:eastAsia="Arial Narrow" w:hAnsi="Arial Narrow" w:cs="Arial Narrow"/>
                <w:color w:val="000000"/>
                <w:sz w:val="20"/>
                <w:szCs w:val="20"/>
              </w:rPr>
              <w:t xml:space="preserve">items </w:t>
            </w:r>
            <w:r>
              <w:rPr>
                <w:rFonts w:ascii="Arial Narrow" w:eastAsia="Arial Narrow" w:hAnsi="Arial Narrow" w:cs="Arial Narrow"/>
                <w:color w:val="000000"/>
                <w:sz w:val="20"/>
                <w:szCs w:val="20"/>
              </w:rPr>
              <w:t>must be checked</w:t>
            </w:r>
            <w:r w:rsidR="00D92578">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0674DE" w14:paraId="7A10C7BF" w14:textId="77777777" w:rsidTr="002803F7">
        <w:tc>
          <w:tcPr>
            <w:tcW w:w="433" w:type="dxa"/>
            <w:tcBorders>
              <w:top w:val="nil"/>
              <w:left w:val="single" w:sz="4" w:space="0" w:color="000000"/>
              <w:bottom w:val="single" w:sz="4" w:space="0" w:color="000000"/>
              <w:right w:val="single" w:sz="4" w:space="0" w:color="000000"/>
            </w:tcBorders>
          </w:tcPr>
          <w:p w14:paraId="2337246C"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157D1163"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investigator will obtain the legally effective informed consent of the subject or LAR.</w:t>
            </w:r>
          </w:p>
        </w:tc>
      </w:tr>
      <w:tr w:rsidR="000674DE" w14:paraId="6C0B5297" w14:textId="77777777" w:rsidTr="002803F7">
        <w:tc>
          <w:tcPr>
            <w:tcW w:w="433" w:type="dxa"/>
            <w:tcBorders>
              <w:top w:val="nil"/>
              <w:left w:val="single" w:sz="4" w:space="0" w:color="000000"/>
              <w:bottom w:val="single" w:sz="4" w:space="0" w:color="000000"/>
              <w:right w:val="single" w:sz="4" w:space="0" w:color="000000"/>
            </w:tcBorders>
          </w:tcPr>
          <w:p w14:paraId="70CBE0D8"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587DC56A"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circumstances of consent provide the prospective subject or LAR sufficient opportunity to consider whether or not to participate.</w:t>
            </w:r>
          </w:p>
        </w:tc>
      </w:tr>
      <w:tr w:rsidR="000674DE" w14:paraId="1A0C3489" w14:textId="77777777" w:rsidTr="002803F7">
        <w:tc>
          <w:tcPr>
            <w:tcW w:w="433" w:type="dxa"/>
            <w:tcBorders>
              <w:top w:val="nil"/>
              <w:left w:val="single" w:sz="4" w:space="0" w:color="000000"/>
              <w:bottom w:val="single" w:sz="4" w:space="0" w:color="000000"/>
              <w:right w:val="single" w:sz="4" w:space="0" w:color="000000"/>
            </w:tcBorders>
          </w:tcPr>
          <w:p w14:paraId="096C57F4"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1C76F11A"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circumstances of consent minimize the possibility of coercion or undue influence.</w:t>
            </w:r>
          </w:p>
        </w:tc>
      </w:tr>
      <w:tr w:rsidR="000674DE" w14:paraId="2AAF70C0" w14:textId="77777777" w:rsidTr="002803F7">
        <w:tc>
          <w:tcPr>
            <w:tcW w:w="433" w:type="dxa"/>
            <w:tcBorders>
              <w:top w:val="nil"/>
              <w:left w:val="single" w:sz="4" w:space="0" w:color="000000"/>
              <w:bottom w:val="single" w:sz="4" w:space="0" w:color="000000"/>
              <w:right w:val="single" w:sz="4" w:space="0" w:color="000000"/>
            </w:tcBorders>
          </w:tcPr>
          <w:p w14:paraId="61482730"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281437DA"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Information to be given to the subject or LAR will be in language understandable to the subject or LAR.</w:t>
            </w:r>
          </w:p>
        </w:tc>
      </w:tr>
      <w:tr w:rsidR="000674DE" w14:paraId="1A3CDA6A" w14:textId="77777777" w:rsidTr="002803F7">
        <w:tc>
          <w:tcPr>
            <w:tcW w:w="433" w:type="dxa"/>
            <w:tcBorders>
              <w:top w:val="nil"/>
              <w:left w:val="single" w:sz="4" w:space="0" w:color="000000"/>
              <w:bottom w:val="single" w:sz="4" w:space="0" w:color="000000"/>
              <w:right w:val="single" w:sz="4" w:space="0" w:color="000000"/>
            </w:tcBorders>
          </w:tcPr>
          <w:p w14:paraId="27854553"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3EC1573F"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prospective subject or the LAR must be provided with the information that a reasonable person would want to have in order to make an informed decision about whether to participate, and an opportunity to discuss that information. (</w:t>
            </w:r>
            <w:r>
              <w:rPr>
                <w:rFonts w:ascii="Arial Narrow" w:eastAsia="Arial Narrow" w:hAnsi="Arial Narrow" w:cs="Arial Narrow"/>
                <w:b/>
                <w:color w:val="000000"/>
                <w:sz w:val="20"/>
                <w:szCs w:val="20"/>
              </w:rPr>
              <w:t xml:space="preserve">N/A if research is subject to Pre-2018 Requirements) N/A: </w:t>
            </w:r>
            <w:r>
              <w:rPr>
                <w:rFonts w:ascii="MS Gothic" w:eastAsia="MS Gothic" w:hAnsi="MS Gothic" w:cs="MS Gothic"/>
                <w:b/>
                <w:color w:val="000000"/>
                <w:sz w:val="20"/>
                <w:szCs w:val="20"/>
              </w:rPr>
              <w:t>☐</w:t>
            </w:r>
          </w:p>
        </w:tc>
      </w:tr>
      <w:tr w:rsidR="000674DE" w14:paraId="0B21B99E" w14:textId="77777777" w:rsidTr="002803F7">
        <w:tc>
          <w:tcPr>
            <w:tcW w:w="433" w:type="dxa"/>
            <w:tcBorders>
              <w:top w:val="nil"/>
              <w:left w:val="single" w:sz="4" w:space="0" w:color="000000"/>
              <w:bottom w:val="single" w:sz="4" w:space="0" w:color="000000"/>
              <w:right w:val="single" w:sz="4" w:space="0" w:color="000000"/>
            </w:tcBorders>
          </w:tcPr>
          <w:p w14:paraId="2B93D5C6"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617CC86C"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Informed consent must begin with a concise and focused presentation of the key information that is most likely to assist a prospective subject or LAR in understanding the reasons why one might or might not want to participate in the research. This part of the informed consent must be organized and presented in a way that facilitates comprehension. (</w:t>
            </w:r>
            <w:r>
              <w:rPr>
                <w:rFonts w:ascii="Arial Narrow" w:eastAsia="Arial Narrow" w:hAnsi="Arial Narrow" w:cs="Arial Narrow"/>
                <w:b/>
                <w:color w:val="000000"/>
                <w:sz w:val="20"/>
                <w:szCs w:val="20"/>
              </w:rPr>
              <w:t xml:space="preserve">N/A if research is subject to Pre-2018 Requirements) N/A: </w:t>
            </w:r>
            <w:r>
              <w:rPr>
                <w:rFonts w:ascii="MS Gothic" w:eastAsia="MS Gothic" w:hAnsi="MS Gothic" w:cs="MS Gothic"/>
                <w:b/>
                <w:color w:val="000000"/>
                <w:sz w:val="20"/>
                <w:szCs w:val="20"/>
              </w:rPr>
              <w:t>☐</w:t>
            </w:r>
            <w:r>
              <w:rPr>
                <w:rFonts w:ascii="Arial Narrow" w:eastAsia="Arial Narrow" w:hAnsi="Arial Narrow" w:cs="Arial Narrow"/>
                <w:b/>
                <w:color w:val="000000"/>
                <w:sz w:val="20"/>
                <w:szCs w:val="20"/>
              </w:rPr>
              <w:t xml:space="preserve"> </w:t>
            </w:r>
          </w:p>
        </w:tc>
      </w:tr>
      <w:tr w:rsidR="000674DE" w14:paraId="2ED14017" w14:textId="77777777" w:rsidTr="002803F7">
        <w:tc>
          <w:tcPr>
            <w:tcW w:w="433" w:type="dxa"/>
            <w:tcBorders>
              <w:top w:val="nil"/>
              <w:left w:val="single" w:sz="4" w:space="0" w:color="000000"/>
              <w:bottom w:val="single" w:sz="4" w:space="0" w:color="000000"/>
              <w:right w:val="single" w:sz="4" w:space="0" w:color="000000"/>
            </w:tcBorders>
          </w:tcPr>
          <w:p w14:paraId="27DAA8D5"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0A8BC355"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Informed consent as a whole must present information in sufficient detail relating to the research and must be organized and presented in a way that does not merely provide lists of isolated facts, but rather facilitates the prospective subject’s or LAR’s understanding of the reasons why one might or might not want to participate. (</w:t>
            </w:r>
            <w:r>
              <w:rPr>
                <w:rFonts w:ascii="Arial Narrow" w:eastAsia="Arial Narrow" w:hAnsi="Arial Narrow" w:cs="Arial Narrow"/>
                <w:b/>
                <w:color w:val="000000"/>
                <w:sz w:val="20"/>
                <w:szCs w:val="20"/>
              </w:rPr>
              <w:t xml:space="preserve">N/A if research is subject to Pre-2018 Requirements) N/A: </w:t>
            </w:r>
            <w:r>
              <w:rPr>
                <w:rFonts w:ascii="MS Gothic" w:eastAsia="MS Gothic" w:hAnsi="MS Gothic" w:cs="MS Gothic"/>
                <w:b/>
                <w:color w:val="000000"/>
                <w:sz w:val="20"/>
                <w:szCs w:val="20"/>
              </w:rPr>
              <w:t>☐</w:t>
            </w:r>
          </w:p>
        </w:tc>
      </w:tr>
      <w:tr w:rsidR="000674DE" w14:paraId="141954B6" w14:textId="77777777" w:rsidTr="002803F7">
        <w:trPr>
          <w:trHeight w:val="240"/>
        </w:trPr>
        <w:tc>
          <w:tcPr>
            <w:tcW w:w="433" w:type="dxa"/>
            <w:tcBorders>
              <w:top w:val="nil"/>
              <w:left w:val="single" w:sz="4" w:space="0" w:color="000000"/>
              <w:bottom w:val="single" w:sz="4" w:space="0" w:color="000000"/>
              <w:right w:val="single" w:sz="4" w:space="0" w:color="000000"/>
            </w:tcBorders>
          </w:tcPr>
          <w:p w14:paraId="2C946C47"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550AA2EE"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0674DE" w14:paraId="3BA72127" w14:textId="77777777" w:rsidTr="002803F7">
        <w:tc>
          <w:tcPr>
            <w:tcW w:w="433" w:type="dxa"/>
            <w:tcBorders>
              <w:top w:val="nil"/>
              <w:left w:val="single" w:sz="4" w:space="0" w:color="000000"/>
              <w:bottom w:val="single" w:sz="4" w:space="0" w:color="000000"/>
              <w:right w:val="single" w:sz="4" w:space="0" w:color="000000"/>
            </w:tcBorders>
          </w:tcPr>
          <w:p w14:paraId="2AD39233"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119C7E54" w14:textId="246A2E8B"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Consent will disclose the elements in </w:t>
            </w:r>
            <w:r>
              <w:rPr>
                <w:rFonts w:ascii="Arial Narrow" w:eastAsia="Arial Narrow" w:hAnsi="Arial Narrow" w:cs="Arial Narrow"/>
                <w:b/>
                <w:color w:val="000000"/>
                <w:sz w:val="20"/>
                <w:szCs w:val="20"/>
              </w:rPr>
              <w:t>Section 7: Elements of Consent Disclosure</w:t>
            </w:r>
            <w:r w:rsidR="00B1017F">
              <w:rPr>
                <w:rFonts w:ascii="Arial Narrow" w:eastAsia="Arial Narrow" w:hAnsi="Arial Narrow" w:cs="Arial Narrow"/>
                <w:b/>
                <w:color w:val="000000"/>
                <w:sz w:val="20"/>
                <w:szCs w:val="20"/>
              </w:rPr>
              <w:t>.</w:t>
            </w:r>
          </w:p>
        </w:tc>
      </w:tr>
      <w:tr w:rsidR="000674DE" w14:paraId="0C4D5A45" w14:textId="77777777" w:rsidTr="002803F7">
        <w:trPr>
          <w:trHeight w:val="60"/>
        </w:trPr>
        <w:tc>
          <w:tcPr>
            <w:tcW w:w="10748" w:type="dxa"/>
            <w:gridSpan w:val="7"/>
            <w:tcBorders>
              <w:bottom w:val="single" w:sz="4" w:space="0" w:color="000000"/>
            </w:tcBorders>
            <w:shd w:val="clear" w:color="auto" w:fill="000000"/>
          </w:tcPr>
          <w:p w14:paraId="15AF9755" w14:textId="77777777" w:rsidR="000674DE" w:rsidRDefault="000674DE">
            <w:pPr>
              <w:pBdr>
                <w:top w:val="nil"/>
                <w:left w:val="nil"/>
                <w:bottom w:val="nil"/>
                <w:right w:val="nil"/>
                <w:between w:val="nil"/>
              </w:pBdr>
              <w:rPr>
                <w:rFonts w:ascii="Arial Narrow" w:eastAsia="Arial Narrow" w:hAnsi="Arial Narrow" w:cs="Arial Narrow"/>
                <w:color w:val="000000"/>
                <w:sz w:val="20"/>
                <w:szCs w:val="20"/>
              </w:rPr>
            </w:pPr>
          </w:p>
        </w:tc>
      </w:tr>
      <w:tr w:rsidR="000674DE" w14:paraId="47C83691" w14:textId="77777777" w:rsidTr="002803F7">
        <w:tc>
          <w:tcPr>
            <w:tcW w:w="10748" w:type="dxa"/>
            <w:gridSpan w:val="7"/>
            <w:tcBorders>
              <w:top w:val="nil"/>
              <w:left w:val="single" w:sz="4" w:space="0" w:color="000000"/>
              <w:bottom w:val="single" w:sz="4" w:space="0" w:color="000000"/>
              <w:right w:val="single" w:sz="4" w:space="0" w:color="000000"/>
            </w:tcBorders>
          </w:tcPr>
          <w:p w14:paraId="0E8CB9FF" w14:textId="3D3F6B14" w:rsidR="000674DE" w:rsidRDefault="003F2952">
            <w:pPr>
              <w:numPr>
                <w:ilvl w:val="0"/>
                <w:numId w:val="1"/>
              </w:numPr>
              <w:pBdr>
                <w:top w:val="nil"/>
                <w:left w:val="nil"/>
                <w:bottom w:val="nil"/>
                <w:right w:val="nil"/>
                <w:between w:val="nil"/>
              </w:pBdr>
            </w:pPr>
            <w:r>
              <w:rPr>
                <w:rFonts w:ascii="Arial Narrow" w:eastAsia="Arial Narrow" w:hAnsi="Arial Narrow" w:cs="Arial Narrow"/>
                <w:b/>
                <w:color w:val="000000"/>
                <w:sz w:val="20"/>
                <w:szCs w:val="20"/>
              </w:rPr>
              <w:t xml:space="preserve">Long Form of Consent Documentation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 xml:space="preserve">“Yes” </w:t>
            </w:r>
            <w:r>
              <w:rPr>
                <w:rFonts w:ascii="Arial Narrow" w:eastAsia="Arial Narrow" w:hAnsi="Arial Narrow" w:cs="Arial Narrow"/>
                <w:color w:val="000000"/>
                <w:sz w:val="20"/>
                <w:szCs w:val="20"/>
              </w:rPr>
              <w:t>or</w:t>
            </w:r>
            <w:r>
              <w:rPr>
                <w:rFonts w:ascii="Arial Narrow" w:eastAsia="Arial Narrow" w:hAnsi="Arial Narrow" w:cs="Arial Narrow"/>
                <w:b/>
                <w:color w:val="000000"/>
                <w:sz w:val="20"/>
                <w:szCs w:val="20"/>
              </w:rPr>
              <w:t xml:space="preserve"> “N/A”</w:t>
            </w:r>
            <w:r>
              <w:rPr>
                <w:rFonts w:ascii="Arial Narrow" w:eastAsia="Arial Narrow" w:hAnsi="Arial Narrow" w:cs="Arial Narrow"/>
                <w:color w:val="000000"/>
                <w:sz w:val="20"/>
                <w:szCs w:val="20"/>
              </w:rPr>
              <w:t xml:space="preserve">. All </w:t>
            </w:r>
            <w:r w:rsidR="00C94794">
              <w:rPr>
                <w:rFonts w:ascii="Arial Narrow" w:eastAsia="Arial Narrow" w:hAnsi="Arial Narrow" w:cs="Arial Narrow"/>
                <w:color w:val="000000"/>
                <w:sz w:val="20"/>
                <w:szCs w:val="20"/>
              </w:rPr>
              <w:t xml:space="preserve">items </w:t>
            </w:r>
            <w:r>
              <w:rPr>
                <w:rFonts w:ascii="Arial Narrow" w:eastAsia="Arial Narrow" w:hAnsi="Arial Narrow" w:cs="Arial Narrow"/>
                <w:color w:val="000000"/>
                <w:sz w:val="20"/>
                <w:szCs w:val="20"/>
              </w:rPr>
              <w:t>must be checked</w:t>
            </w:r>
            <w:r w:rsidR="00B1017F">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0674DE" w14:paraId="1E998EA3" w14:textId="77777777" w:rsidTr="002803F7">
        <w:tc>
          <w:tcPr>
            <w:tcW w:w="433" w:type="dxa"/>
            <w:tcBorders>
              <w:top w:val="nil"/>
              <w:left w:val="single" w:sz="4" w:space="0" w:color="000000"/>
              <w:bottom w:val="single" w:sz="4" w:space="0" w:color="000000"/>
              <w:right w:val="single" w:sz="4" w:space="0" w:color="000000"/>
            </w:tcBorders>
          </w:tcPr>
          <w:p w14:paraId="66E224BA"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0CA7DB6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written consent document is accurate, complete, and consistent with the protocol.</w:t>
            </w:r>
          </w:p>
        </w:tc>
      </w:tr>
      <w:tr w:rsidR="000674DE" w14:paraId="0A15926D" w14:textId="77777777" w:rsidTr="002803F7">
        <w:tc>
          <w:tcPr>
            <w:tcW w:w="433" w:type="dxa"/>
            <w:tcBorders>
              <w:top w:val="nil"/>
              <w:left w:val="single" w:sz="4" w:space="0" w:color="000000"/>
              <w:bottom w:val="single" w:sz="4" w:space="0" w:color="000000"/>
              <w:right w:val="single" w:sz="4" w:space="0" w:color="000000"/>
            </w:tcBorders>
          </w:tcPr>
          <w:p w14:paraId="0401B2E0"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5037DC91" w14:textId="3FEC5FA3"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written consent document embodies the elements in </w:t>
            </w:r>
            <w:r>
              <w:rPr>
                <w:rFonts w:ascii="Arial Narrow" w:eastAsia="Arial Narrow" w:hAnsi="Arial Narrow" w:cs="Arial Narrow"/>
                <w:b/>
                <w:color w:val="000000"/>
                <w:sz w:val="20"/>
                <w:szCs w:val="20"/>
              </w:rPr>
              <w:t>Section 7: Elements of Consent Disclosure</w:t>
            </w:r>
            <w:r w:rsidR="001461DE">
              <w:rPr>
                <w:rFonts w:ascii="Arial Narrow" w:eastAsia="Arial Narrow" w:hAnsi="Arial Narrow" w:cs="Arial Narrow"/>
                <w:b/>
                <w:color w:val="000000"/>
                <w:sz w:val="20"/>
                <w:szCs w:val="20"/>
              </w:rPr>
              <w:t>.</w:t>
            </w:r>
          </w:p>
        </w:tc>
      </w:tr>
      <w:tr w:rsidR="000674DE" w14:paraId="060ABEA5" w14:textId="77777777" w:rsidTr="002803F7">
        <w:tc>
          <w:tcPr>
            <w:tcW w:w="433" w:type="dxa"/>
            <w:tcBorders>
              <w:top w:val="nil"/>
              <w:left w:val="single" w:sz="4" w:space="0" w:color="000000"/>
              <w:bottom w:val="single" w:sz="4" w:space="0" w:color="000000"/>
              <w:right w:val="single" w:sz="4" w:space="0" w:color="000000"/>
            </w:tcBorders>
          </w:tcPr>
          <w:p w14:paraId="789F1AB7"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lastRenderedPageBreak/>
              <w:t>☐</w:t>
            </w:r>
          </w:p>
        </w:tc>
        <w:tc>
          <w:tcPr>
            <w:tcW w:w="10315" w:type="dxa"/>
            <w:gridSpan w:val="6"/>
            <w:tcBorders>
              <w:top w:val="nil"/>
              <w:left w:val="single" w:sz="4" w:space="0" w:color="000000"/>
              <w:bottom w:val="single" w:sz="4" w:space="0" w:color="000000"/>
              <w:right w:val="single" w:sz="4" w:space="0" w:color="000000"/>
            </w:tcBorders>
          </w:tcPr>
          <w:p w14:paraId="0AD0C46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investigator will give either the subject or LAR adequate opportunity to read the consent document before it is signed.</w:t>
            </w:r>
          </w:p>
        </w:tc>
      </w:tr>
      <w:tr w:rsidR="000674DE" w14:paraId="7D4B3A0C" w14:textId="77777777" w:rsidTr="002803F7">
        <w:tc>
          <w:tcPr>
            <w:tcW w:w="433" w:type="dxa"/>
            <w:tcBorders>
              <w:top w:val="nil"/>
              <w:left w:val="single" w:sz="4" w:space="0" w:color="000000"/>
              <w:bottom w:val="single" w:sz="4" w:space="0" w:color="000000"/>
              <w:right w:val="single" w:sz="4" w:space="0" w:color="000000"/>
            </w:tcBorders>
          </w:tcPr>
          <w:p w14:paraId="654067A7"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72D555D8"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subject or LAR will sign and date the consent document.</w:t>
            </w:r>
          </w:p>
        </w:tc>
      </w:tr>
      <w:tr w:rsidR="000674DE" w14:paraId="25CF3AA0" w14:textId="77777777" w:rsidTr="002803F7">
        <w:tc>
          <w:tcPr>
            <w:tcW w:w="433" w:type="dxa"/>
            <w:tcBorders>
              <w:top w:val="nil"/>
              <w:left w:val="single" w:sz="4" w:space="0" w:color="000000"/>
              <w:bottom w:val="single" w:sz="4" w:space="0" w:color="000000"/>
              <w:right w:val="single" w:sz="4" w:space="0" w:color="000000"/>
            </w:tcBorders>
          </w:tcPr>
          <w:p w14:paraId="49FEE4DB"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529E8132"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person obtaining consent will sign and date the consent document.</w:t>
            </w:r>
          </w:p>
        </w:tc>
      </w:tr>
      <w:tr w:rsidR="000674DE" w14:paraId="27D08BD4" w14:textId="77777777" w:rsidTr="002803F7">
        <w:tc>
          <w:tcPr>
            <w:tcW w:w="433" w:type="dxa"/>
            <w:tcBorders>
              <w:top w:val="nil"/>
              <w:left w:val="single" w:sz="4" w:space="0" w:color="000000"/>
              <w:bottom w:val="single" w:sz="4" w:space="0" w:color="000000"/>
              <w:right w:val="single" w:sz="4" w:space="0" w:color="000000"/>
            </w:tcBorders>
          </w:tcPr>
          <w:p w14:paraId="1A08CF57"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5F06ED75"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copy of the signed and dated consent document will be given to the person signing the document.</w:t>
            </w:r>
          </w:p>
        </w:tc>
      </w:tr>
      <w:tr w:rsidR="000674DE" w14:paraId="1CB950EE" w14:textId="77777777" w:rsidTr="002803F7">
        <w:tc>
          <w:tcPr>
            <w:tcW w:w="433" w:type="dxa"/>
            <w:tcBorders>
              <w:top w:val="nil"/>
              <w:left w:val="single" w:sz="4" w:space="0" w:color="000000"/>
              <w:bottom w:val="single" w:sz="4" w:space="0" w:color="000000"/>
              <w:right w:val="single" w:sz="4" w:space="0" w:color="000000"/>
            </w:tcBorders>
          </w:tcPr>
          <w:p w14:paraId="06911431"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06C05CEB" w14:textId="70442200" w:rsidR="000674DE" w:rsidRDefault="003F2952" w:rsidP="001461DE">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If there is </w:t>
            </w:r>
            <w:proofErr w:type="gramStart"/>
            <w:r w:rsidR="001461DE">
              <w:rPr>
                <w:rFonts w:ascii="Arial Narrow" w:eastAsia="Arial Narrow" w:hAnsi="Arial Narrow" w:cs="Arial Narrow"/>
                <w:color w:val="000000"/>
                <w:sz w:val="20"/>
                <w:szCs w:val="20"/>
              </w:rPr>
              <w:t>an</w:t>
            </w:r>
            <w:proofErr w:type="gramEnd"/>
            <w:r w:rsidR="001461DE">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 xml:space="preserve">LAR or parent signature line, the IRB has approved inclusion of adults unable to consent or </w:t>
            </w:r>
            <w:r w:rsidR="002803F7">
              <w:rPr>
                <w:rFonts w:ascii="Arial Narrow" w:eastAsia="Arial Narrow" w:hAnsi="Arial Narrow" w:cs="Arial Narrow"/>
                <w:color w:val="000000"/>
                <w:sz w:val="20"/>
                <w:szCs w:val="20"/>
              </w:rPr>
              <w:t>minors</w:t>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 xml:space="preserve">(“N/A” if no signature line)  N/A: </w:t>
            </w:r>
            <w:r>
              <w:rPr>
                <w:rFonts w:ascii="MS Gothic" w:eastAsia="MS Gothic" w:hAnsi="MS Gothic" w:cs="MS Gothic"/>
                <w:b/>
                <w:color w:val="000000"/>
                <w:sz w:val="20"/>
                <w:szCs w:val="20"/>
              </w:rPr>
              <w:t>☐</w:t>
            </w:r>
          </w:p>
        </w:tc>
      </w:tr>
      <w:tr w:rsidR="000674DE" w14:paraId="6DF3B5D1" w14:textId="77777777" w:rsidTr="002803F7">
        <w:tc>
          <w:tcPr>
            <w:tcW w:w="433" w:type="dxa"/>
            <w:tcBorders>
              <w:top w:val="nil"/>
              <w:left w:val="single" w:sz="4" w:space="0" w:color="000000"/>
              <w:bottom w:val="single" w:sz="4" w:space="0" w:color="000000"/>
              <w:right w:val="single" w:sz="4" w:space="0" w:color="000000"/>
            </w:tcBorders>
          </w:tcPr>
          <w:p w14:paraId="0C627EB9" w14:textId="77777777" w:rsidR="000674DE" w:rsidRDefault="003F2952">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b/>
                <w:color w:val="000000"/>
                <w:sz w:val="20"/>
                <w:szCs w:val="20"/>
              </w:rPr>
              <w:t>☐</w:t>
            </w:r>
          </w:p>
        </w:tc>
        <w:tc>
          <w:tcPr>
            <w:tcW w:w="10315" w:type="dxa"/>
            <w:gridSpan w:val="6"/>
            <w:tcBorders>
              <w:top w:val="nil"/>
              <w:left w:val="single" w:sz="4" w:space="0" w:color="000000"/>
              <w:bottom w:val="single" w:sz="4" w:space="0" w:color="000000"/>
              <w:right w:val="single" w:sz="4" w:space="0" w:color="000000"/>
            </w:tcBorders>
          </w:tcPr>
          <w:p w14:paraId="39A444E4"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Pr>
                <w:rFonts w:ascii="Arial Narrow" w:eastAsia="Arial Narrow" w:hAnsi="Arial Narrow" w:cs="Arial Narrow"/>
                <w:b/>
                <w:color w:val="000000"/>
                <w:sz w:val="20"/>
                <w:szCs w:val="20"/>
              </w:rPr>
              <w:t xml:space="preserve">(“N/A” if all subjects are able to read)  N/A: </w:t>
            </w:r>
            <w:r>
              <w:rPr>
                <w:rFonts w:ascii="MS Gothic" w:eastAsia="MS Gothic" w:hAnsi="MS Gothic" w:cs="MS Gothic"/>
                <w:b/>
                <w:color w:val="000000"/>
                <w:sz w:val="20"/>
                <w:szCs w:val="20"/>
              </w:rPr>
              <w:t>☐</w:t>
            </w:r>
          </w:p>
        </w:tc>
      </w:tr>
      <w:tr w:rsidR="000674DE" w14:paraId="59A8124A" w14:textId="77777777" w:rsidTr="002803F7">
        <w:trPr>
          <w:trHeight w:val="60"/>
        </w:trPr>
        <w:tc>
          <w:tcPr>
            <w:tcW w:w="10748" w:type="dxa"/>
            <w:gridSpan w:val="7"/>
            <w:tcBorders>
              <w:bottom w:val="single" w:sz="4" w:space="0" w:color="000000"/>
            </w:tcBorders>
            <w:shd w:val="clear" w:color="auto" w:fill="000000"/>
          </w:tcPr>
          <w:p w14:paraId="39930EB5"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p>
        </w:tc>
      </w:tr>
      <w:tr w:rsidR="000674DE" w14:paraId="6A9AE747" w14:textId="77777777" w:rsidTr="002803F7">
        <w:tc>
          <w:tcPr>
            <w:tcW w:w="10748" w:type="dxa"/>
            <w:gridSpan w:val="7"/>
          </w:tcPr>
          <w:p w14:paraId="1FD2873D" w14:textId="1A876B5B" w:rsidR="000674DE" w:rsidRDefault="003F2952">
            <w:pPr>
              <w:numPr>
                <w:ilvl w:val="0"/>
                <w:numId w:val="1"/>
              </w:numPr>
              <w:pBdr>
                <w:top w:val="nil"/>
                <w:left w:val="nil"/>
                <w:bottom w:val="nil"/>
                <w:right w:val="nil"/>
                <w:between w:val="nil"/>
              </w:pBdr>
              <w:rPr>
                <w:b/>
                <w:color w:val="000000"/>
                <w:sz w:val="20"/>
                <w:szCs w:val="20"/>
              </w:rPr>
            </w:pPr>
            <w:bookmarkStart w:id="3" w:name="1fob9te" w:colFirst="0" w:colLast="0"/>
            <w:bookmarkStart w:id="4" w:name="3znysh7" w:colFirst="0" w:colLast="0"/>
            <w:bookmarkEnd w:id="3"/>
            <w:bookmarkEnd w:id="4"/>
            <w:r>
              <w:rPr>
                <w:rFonts w:ascii="Arial Narrow" w:eastAsia="Arial Narrow" w:hAnsi="Arial Narrow" w:cs="Arial Narrow"/>
                <w:b/>
                <w:color w:val="000000"/>
                <w:sz w:val="20"/>
                <w:szCs w:val="20"/>
              </w:rPr>
              <w:t xml:space="preserve">Elements of Consent Disclosure </w:t>
            </w:r>
            <w:r>
              <w:rPr>
                <w:rFonts w:ascii="Arial Narrow" w:eastAsia="Arial Narrow" w:hAnsi="Arial Narrow" w:cs="Arial Narrow"/>
                <w:color w:val="000000"/>
                <w:sz w:val="20"/>
                <w:szCs w:val="20"/>
              </w:rPr>
              <w:t xml:space="preserve">(Check if </w:t>
            </w:r>
            <w:r>
              <w:rPr>
                <w:rFonts w:ascii="Arial Narrow" w:eastAsia="Arial Narrow" w:hAnsi="Arial Narrow" w:cs="Arial Narrow"/>
                <w:b/>
                <w:color w:val="000000"/>
                <w:sz w:val="20"/>
                <w:szCs w:val="20"/>
              </w:rPr>
              <w:t xml:space="preserve">“Yes” </w:t>
            </w:r>
            <w:r>
              <w:rPr>
                <w:rFonts w:ascii="Arial Narrow" w:eastAsia="Arial Narrow" w:hAnsi="Arial Narrow" w:cs="Arial Narrow"/>
                <w:color w:val="000000"/>
                <w:sz w:val="20"/>
                <w:szCs w:val="20"/>
              </w:rPr>
              <w:t>or</w:t>
            </w:r>
            <w:r>
              <w:rPr>
                <w:rFonts w:ascii="Arial Narrow" w:eastAsia="Arial Narrow" w:hAnsi="Arial Narrow" w:cs="Arial Narrow"/>
                <w:b/>
                <w:color w:val="000000"/>
                <w:sz w:val="20"/>
                <w:szCs w:val="20"/>
              </w:rPr>
              <w:t xml:space="preserve"> “N/A”</w:t>
            </w:r>
            <w:r>
              <w:rPr>
                <w:rFonts w:ascii="Arial Narrow" w:eastAsia="Arial Narrow" w:hAnsi="Arial Narrow" w:cs="Arial Narrow"/>
                <w:color w:val="000000"/>
                <w:sz w:val="20"/>
                <w:szCs w:val="20"/>
              </w:rPr>
              <w:t xml:space="preserve">. All </w:t>
            </w:r>
            <w:r w:rsidR="00C94794">
              <w:rPr>
                <w:rFonts w:ascii="Arial Narrow" w:eastAsia="Arial Narrow" w:hAnsi="Arial Narrow" w:cs="Arial Narrow"/>
                <w:color w:val="000000"/>
                <w:sz w:val="20"/>
                <w:szCs w:val="20"/>
              </w:rPr>
              <w:t xml:space="preserve">items </w:t>
            </w:r>
            <w:r>
              <w:rPr>
                <w:rFonts w:ascii="Arial Narrow" w:eastAsia="Arial Narrow" w:hAnsi="Arial Narrow" w:cs="Arial Narrow"/>
                <w:color w:val="000000"/>
                <w:sz w:val="20"/>
                <w:szCs w:val="20"/>
              </w:rPr>
              <w:t>must be checked</w:t>
            </w:r>
            <w:r w:rsidR="001461DE">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0674DE" w14:paraId="64333D5D" w14:textId="77777777" w:rsidTr="002803F7">
        <w:tc>
          <w:tcPr>
            <w:tcW w:w="3979" w:type="dxa"/>
            <w:gridSpan w:val="4"/>
          </w:tcPr>
          <w:p w14:paraId="53A790DE"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Required:</w:t>
            </w:r>
            <w:r>
              <w:rPr>
                <w:rFonts w:ascii="Arial Narrow" w:eastAsia="Arial Narrow" w:hAnsi="Arial Narrow" w:cs="Arial Narrow"/>
                <w:i/>
                <w:color w:val="000000"/>
                <w:sz w:val="20"/>
                <w:szCs w:val="20"/>
              </w:rPr>
              <w:t xml:space="preserve"> (*Can be omitted if there are none</w:t>
            </w:r>
            <w:r>
              <w:rPr>
                <w:rFonts w:ascii="Arial Narrow" w:eastAsia="Arial Narrow" w:hAnsi="Arial Narrow" w:cs="Arial Narrow"/>
                <w:color w:val="000000"/>
                <w:sz w:val="20"/>
                <w:szCs w:val="20"/>
              </w:rPr>
              <w:t>.)</w:t>
            </w:r>
          </w:p>
          <w:p w14:paraId="5E6D7B1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bookmarkStart w:id="5" w:name="2et92p0" w:colFirst="0" w:colLast="0"/>
            <w:bookmarkStart w:id="6" w:name="tyjcwt" w:colFirst="0" w:colLast="0"/>
            <w:bookmarkEnd w:id="5"/>
            <w:bookmarkEnd w:id="6"/>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study involves research.</w:t>
            </w:r>
          </w:p>
          <w:p w14:paraId="29176D5B"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purposes of the research.</w:t>
            </w:r>
          </w:p>
          <w:p w14:paraId="02CB13A7"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expected duration of the subject’s participation.</w:t>
            </w:r>
          </w:p>
          <w:p w14:paraId="43BDAE1B"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procedures to be followed.</w:t>
            </w:r>
          </w:p>
          <w:p w14:paraId="5ECD23BE"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Identification of any procedures, which are experimental.</w:t>
            </w:r>
            <w:r>
              <w:rPr>
                <w:rFonts w:ascii="Arial Narrow" w:eastAsia="Arial Narrow" w:hAnsi="Arial Narrow" w:cs="Arial Narrow"/>
                <w:i/>
                <w:color w:val="000000"/>
                <w:sz w:val="20"/>
                <w:szCs w:val="20"/>
              </w:rPr>
              <w:t>*</w:t>
            </w:r>
          </w:p>
          <w:p w14:paraId="7EE10A02"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Any reasonably foreseeable risks or discomforts to the subject.</w:t>
            </w:r>
            <w:r>
              <w:rPr>
                <w:rFonts w:ascii="Arial Narrow" w:eastAsia="Arial Narrow" w:hAnsi="Arial Narrow" w:cs="Arial Narrow"/>
                <w:i/>
                <w:color w:val="000000"/>
                <w:sz w:val="20"/>
                <w:szCs w:val="20"/>
              </w:rPr>
              <w:t>*</w:t>
            </w:r>
          </w:p>
          <w:p w14:paraId="1A49F4B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Any benefits to the subject or to others, which may reasonably be expected from the research.</w:t>
            </w:r>
            <w:r>
              <w:rPr>
                <w:rFonts w:ascii="Arial Narrow" w:eastAsia="Arial Narrow" w:hAnsi="Arial Narrow" w:cs="Arial Narrow"/>
                <w:i/>
                <w:color w:val="000000"/>
                <w:sz w:val="20"/>
                <w:szCs w:val="20"/>
              </w:rPr>
              <w:t>*</w:t>
            </w:r>
          </w:p>
          <w:p w14:paraId="223D482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Appropriate alternative procedures or courses of treatment, if any, that might be advantageous to the subject.</w:t>
            </w:r>
            <w:r>
              <w:rPr>
                <w:rFonts w:ascii="Arial Narrow" w:eastAsia="Arial Narrow" w:hAnsi="Arial Narrow" w:cs="Arial Narrow"/>
                <w:i/>
                <w:color w:val="000000"/>
                <w:sz w:val="20"/>
                <w:szCs w:val="20"/>
              </w:rPr>
              <w:t>*</w:t>
            </w:r>
          </w:p>
          <w:p w14:paraId="2406B55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extent, if any, to which confidentiality of records identifying the subject will be maintained.</w:t>
            </w:r>
            <w:r>
              <w:rPr>
                <w:rFonts w:ascii="Arial Narrow" w:eastAsia="Arial Narrow" w:hAnsi="Arial Narrow" w:cs="Arial Narrow"/>
                <w:i/>
                <w:color w:val="000000"/>
                <w:sz w:val="20"/>
                <w:szCs w:val="20"/>
              </w:rPr>
              <w:t>*</w:t>
            </w:r>
          </w:p>
          <w:p w14:paraId="3066F5D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How to contact the research team for questions, concerns, or complaints about the research.</w:t>
            </w:r>
          </w:p>
          <w:p w14:paraId="78F2E869"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How to contact someone independent of the research team for questions, concerns, or complaints about the research; questions about the subjects’ rights; to obtain information; or to offer input.</w:t>
            </w:r>
          </w:p>
          <w:p w14:paraId="19CB0F24"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Whom to contact in the event of a research-related injury to the subject.</w:t>
            </w:r>
          </w:p>
          <w:p w14:paraId="1E108975"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Participation is voluntary.</w:t>
            </w:r>
          </w:p>
          <w:p w14:paraId="7B761BE0"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Refusal to participate will involve no penalty or loss of benefits to which the subject is otherwise entitled.</w:t>
            </w:r>
          </w:p>
          <w:p w14:paraId="7D18606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subject may discontinue participation at any time without penalty or loss of benefits to which the subject is otherwise entitled.</w:t>
            </w:r>
          </w:p>
          <w:p w14:paraId="2B381FC6"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One of the following statements about any research that involves the collection of identifiable private information or identifiable biospecimens:</w:t>
            </w:r>
          </w:p>
          <w:p w14:paraId="2327B13E" w14:textId="77777777" w:rsidR="000674DE" w:rsidRDefault="003F2952">
            <w:pPr>
              <w:pBdr>
                <w:top w:val="nil"/>
                <w:left w:val="nil"/>
                <w:bottom w:val="nil"/>
                <w:right w:val="nil"/>
                <w:between w:val="nil"/>
              </w:pBdr>
              <w:ind w:left="72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lastRenderedPageBreak/>
              <w:t>☐</w:t>
            </w:r>
            <w:r>
              <w:rPr>
                <w:rFonts w:ascii="Arial Narrow" w:eastAsia="Arial Narrow" w:hAnsi="Arial Narrow" w:cs="Arial Narrow"/>
                <w:color w:val="000000"/>
                <w:sz w:val="20"/>
                <w:szCs w:val="20"/>
              </w:rPr>
              <w:t xml:space="preserve">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LAR, if this might be a possibility; or</w:t>
            </w:r>
          </w:p>
          <w:p w14:paraId="44C767D9" w14:textId="77777777" w:rsidR="000674DE" w:rsidRDefault="003F2952">
            <w:pPr>
              <w:pBdr>
                <w:top w:val="nil"/>
                <w:left w:val="nil"/>
                <w:bottom w:val="nil"/>
                <w:right w:val="nil"/>
                <w:between w:val="nil"/>
              </w:pBdr>
              <w:ind w:left="72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 statement that the subject’s information or biospecimens collected as part of the research, even if identifiers are removed, will not be used or distributed for future research studies.</w:t>
            </w:r>
          </w:p>
          <w:p w14:paraId="30E7BEE2" w14:textId="77777777" w:rsidR="000674DE" w:rsidRDefault="003F2952">
            <w:pPr>
              <w:pBdr>
                <w:top w:val="nil"/>
                <w:left w:val="nil"/>
                <w:bottom w:val="nil"/>
                <w:right w:val="nil"/>
                <w:between w:val="nil"/>
              </w:pBdr>
              <w:ind w:left="390" w:hanging="3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 xml:space="preserve">N/A if research is subject to Pre-2018 Requirements) N/A: </w:t>
            </w:r>
            <w:r>
              <w:rPr>
                <w:rFonts w:ascii="MS Gothic" w:eastAsia="MS Gothic" w:hAnsi="MS Gothic" w:cs="MS Gothic"/>
                <w:b/>
                <w:color w:val="000000"/>
                <w:sz w:val="20"/>
                <w:szCs w:val="20"/>
              </w:rPr>
              <w:t>☐</w:t>
            </w:r>
          </w:p>
          <w:p w14:paraId="4592AFC7" w14:textId="77777777" w:rsidR="000674DE" w:rsidRDefault="003F2952">
            <w:pPr>
              <w:pBdr>
                <w:top w:val="nil"/>
                <w:left w:val="nil"/>
                <w:bottom w:val="nil"/>
                <w:right w:val="nil"/>
                <w:between w:val="nil"/>
              </w:pBdr>
              <w:spacing w:before="6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Required for More than </w:t>
            </w:r>
            <w:r w:rsidRPr="0049654B">
              <w:rPr>
                <w:rFonts w:ascii="Arial Narrow" w:eastAsia="Arial Narrow" w:hAnsi="Arial Narrow" w:cs="Arial Narrow"/>
                <w:b/>
                <w:color w:val="000000"/>
                <w:sz w:val="20"/>
                <w:szCs w:val="20"/>
                <w:u w:val="double"/>
              </w:rPr>
              <w:t>Minimal Risk</w:t>
            </w:r>
            <w:r>
              <w:rPr>
                <w:rFonts w:ascii="Arial Narrow" w:eastAsia="Arial Narrow" w:hAnsi="Arial Narrow" w:cs="Arial Narrow"/>
                <w:b/>
                <w:color w:val="000000"/>
                <w:sz w:val="20"/>
                <w:szCs w:val="20"/>
              </w:rPr>
              <w:t xml:space="preserve"> Research</w:t>
            </w:r>
          </w:p>
          <w:p w14:paraId="276E50AB"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Whether any compensation is available if injury occurs and, if so, what it consists of, or where further information may be obtained.</w:t>
            </w:r>
          </w:p>
          <w:p w14:paraId="4E196EC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Whether any medical treatments are available if injury occurs and, if so, what they consist of, or where further information may be obtained.</w:t>
            </w:r>
          </w:p>
        </w:tc>
        <w:tc>
          <w:tcPr>
            <w:tcW w:w="6769" w:type="dxa"/>
            <w:gridSpan w:val="3"/>
          </w:tcPr>
          <w:p w14:paraId="40BB02FC" w14:textId="1E9C6D18" w:rsidR="000674DE" w:rsidRDefault="003F2952">
            <w:pPr>
              <w:pBdr>
                <w:top w:val="nil"/>
                <w:left w:val="nil"/>
                <w:bottom w:val="nil"/>
                <w:right w:val="nil"/>
                <w:between w:val="nil"/>
              </w:pBdr>
              <w:ind w:left="360" w:hanging="36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Required for Clinical Trials that Follow ICH-GCP</w:t>
            </w:r>
            <w:r w:rsidR="001461DE">
              <w:rPr>
                <w:rFonts w:ascii="Arial Narrow" w:eastAsia="Arial Narrow" w:hAnsi="Arial Narrow" w:cs="Arial Narrow"/>
                <w:b/>
                <w:color w:val="000000"/>
                <w:sz w:val="20"/>
                <w:szCs w:val="20"/>
              </w:rPr>
              <w:t>:</w:t>
            </w:r>
          </w:p>
          <w:p w14:paraId="616E56B6"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approval of the IRB.</w:t>
            </w:r>
          </w:p>
          <w:p w14:paraId="610163C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probability for random assignment to each treatment.</w:t>
            </w:r>
          </w:p>
          <w:p w14:paraId="0D5E8797"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subject's responsibilities.</w:t>
            </w:r>
          </w:p>
          <w:p w14:paraId="7E8476B5"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When applicable, the reasonably foreseeable risks or inconveniences to an embryo, fetus, or nursing infant.</w:t>
            </w:r>
          </w:p>
          <w:p w14:paraId="3ACAE934"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important potential benefits and risks of the alternative procedures or courses of treatment that may be available to the subject.</w:t>
            </w:r>
          </w:p>
          <w:p w14:paraId="156135A7"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When there is no intended clinical benefit to the subject, a statement to this effect.</w:t>
            </w:r>
          </w:p>
          <w:p w14:paraId="4D53FF44"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2A74A501"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If the results of the trial are published, the subject’s identity will remain confidential.</w:t>
            </w:r>
          </w:p>
          <w:p w14:paraId="57EACDE9" w14:textId="77777777" w:rsidR="000674DE" w:rsidRDefault="003F2952">
            <w:pPr>
              <w:pBdr>
                <w:top w:val="nil"/>
                <w:left w:val="nil"/>
                <w:bottom w:val="nil"/>
                <w:right w:val="nil"/>
                <w:between w:val="nil"/>
              </w:pBdr>
              <w:spacing w:before="60"/>
              <w:ind w:left="360" w:hanging="36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Required for FDA-Regulated Research</w:t>
            </w:r>
          </w:p>
          <w:p w14:paraId="65EA4679"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possibility that the Food and Drug Administration may inspect the records.</w:t>
            </w:r>
          </w:p>
          <w:p w14:paraId="679E803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data collected on the subject to the point of withdrawal remains part of the study database and may not be removed.</w:t>
            </w:r>
          </w:p>
          <w:p w14:paraId="46A9021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investigator will ask a subject who is withdrawing whether the subject wishes to provide further data collection from routine medical care.</w:t>
            </w:r>
          </w:p>
          <w:p w14:paraId="5CC2E75A" w14:textId="3E375852"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For controlled drug/device trials (except Phase I drug trials) and pediatric device surveillance trials: “A description of this clinical trial will be available on http://www.ClinicalTrials.gov, as required by U.S. Law. This </w:t>
            </w:r>
            <w:r w:rsidR="00135527">
              <w:rPr>
                <w:rFonts w:ascii="Arial Narrow" w:eastAsia="Arial Narrow" w:hAnsi="Arial Narrow" w:cs="Arial Narrow"/>
                <w:color w:val="000000"/>
                <w:sz w:val="20"/>
                <w:szCs w:val="20"/>
              </w:rPr>
              <w:t>w</w:t>
            </w:r>
            <w:r>
              <w:rPr>
                <w:rFonts w:ascii="Arial Narrow" w:eastAsia="Arial Narrow" w:hAnsi="Arial Narrow" w:cs="Arial Narrow"/>
                <w:color w:val="000000"/>
                <w:sz w:val="20"/>
                <w:szCs w:val="20"/>
              </w:rPr>
              <w:t xml:space="preserve">ebsite will not include information that can identify you. At most, the </w:t>
            </w:r>
            <w:r w:rsidR="00135527">
              <w:rPr>
                <w:rFonts w:ascii="Arial Narrow" w:eastAsia="Arial Narrow" w:hAnsi="Arial Narrow" w:cs="Arial Narrow"/>
                <w:color w:val="000000"/>
                <w:sz w:val="20"/>
                <w:szCs w:val="20"/>
              </w:rPr>
              <w:t>w</w:t>
            </w:r>
            <w:r>
              <w:rPr>
                <w:rFonts w:ascii="Arial Narrow" w:eastAsia="Arial Narrow" w:hAnsi="Arial Narrow" w:cs="Arial Narrow"/>
                <w:color w:val="000000"/>
                <w:sz w:val="20"/>
                <w:szCs w:val="20"/>
              </w:rPr>
              <w:t xml:space="preserve">ebsite will include a summary of the results. You can search this </w:t>
            </w:r>
            <w:r w:rsidR="00135527">
              <w:rPr>
                <w:rFonts w:ascii="Arial Narrow" w:eastAsia="Arial Narrow" w:hAnsi="Arial Narrow" w:cs="Arial Narrow"/>
                <w:color w:val="000000"/>
                <w:sz w:val="20"/>
                <w:szCs w:val="20"/>
              </w:rPr>
              <w:t>w</w:t>
            </w:r>
            <w:r>
              <w:rPr>
                <w:rFonts w:ascii="Arial Narrow" w:eastAsia="Arial Narrow" w:hAnsi="Arial Narrow" w:cs="Arial Narrow"/>
                <w:color w:val="000000"/>
                <w:sz w:val="20"/>
                <w:szCs w:val="20"/>
              </w:rPr>
              <w:t>ebsite at any time.”</w:t>
            </w:r>
          </w:p>
          <w:p w14:paraId="3C325936" w14:textId="77777777" w:rsidR="000674DE" w:rsidRDefault="003F2952">
            <w:pPr>
              <w:pBdr>
                <w:top w:val="nil"/>
                <w:left w:val="nil"/>
                <w:bottom w:val="nil"/>
                <w:right w:val="nil"/>
                <w:between w:val="nil"/>
              </w:pBdr>
              <w:spacing w:before="60"/>
              <w:ind w:left="360" w:hanging="36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Additional: </w:t>
            </w:r>
            <w:r>
              <w:rPr>
                <w:rFonts w:ascii="Arial Narrow" w:eastAsia="Arial Narrow" w:hAnsi="Arial Narrow" w:cs="Arial Narrow"/>
                <w:color w:val="000000"/>
                <w:sz w:val="20"/>
                <w:szCs w:val="20"/>
              </w:rPr>
              <w:t>(Include when appropriate.)</w:t>
            </w:r>
          </w:p>
          <w:p w14:paraId="72954D92"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particular treatment or procedure may involve risks to the subject, which are currently unforeseeable.</w:t>
            </w:r>
          </w:p>
          <w:p w14:paraId="64CDDBE3"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If the subject is or becomes pregnant, the particular treatment or procedure may involve risks to the embryo or fetus, which are currently unforeseeable.</w:t>
            </w:r>
          </w:p>
          <w:p w14:paraId="48798B6D"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Anticipated circumstances under which the subject’s participation may be terminated by the investigator without regard to the subject’s consent.</w:t>
            </w:r>
          </w:p>
          <w:p w14:paraId="79E6A704" w14:textId="6C441CC0"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Any additional costs to the subject that may result from participation in the research</w:t>
            </w:r>
          </w:p>
          <w:p w14:paraId="20A23D2A" w14:textId="0C0FDF39"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consequences of a subject’s decision to withdraw from the research</w:t>
            </w:r>
          </w:p>
          <w:p w14:paraId="0B113FB7" w14:textId="57F34FB8"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Procedures for orderly termination of participation by the subject</w:t>
            </w:r>
          </w:p>
          <w:p w14:paraId="2FC5FF96"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Significant new findings developed during the course of the research, which may relate to the subject’s willingness to continue participation will be provided to the subject.</w:t>
            </w:r>
          </w:p>
          <w:p w14:paraId="59EAE87F" w14:textId="2C4620A9"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Approximate number of subjects involved in the study</w:t>
            </w:r>
          </w:p>
          <w:p w14:paraId="23E62329" w14:textId="195FAC91"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lastRenderedPageBreak/>
              <w:t>☐</w:t>
            </w:r>
            <w:r>
              <w:rPr>
                <w:rFonts w:ascii="Arial Narrow" w:eastAsia="Arial Narrow" w:hAnsi="Arial Narrow" w:cs="Arial Narrow"/>
                <w:color w:val="000000"/>
                <w:sz w:val="20"/>
                <w:szCs w:val="20"/>
              </w:rPr>
              <w:t xml:space="preserve"> Amount and schedule of all payments</w:t>
            </w:r>
          </w:p>
          <w:p w14:paraId="4EDF9943" w14:textId="6A2FAAB8"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 statement that the subject’s biospecimens (even if identifiers are removed) may be used for commercial profit and whether the subject will or will not share in this commercial profit. (</w:t>
            </w:r>
            <w:r>
              <w:rPr>
                <w:rFonts w:ascii="Arial Narrow" w:eastAsia="Arial Narrow" w:hAnsi="Arial Narrow" w:cs="Arial Narrow"/>
                <w:b/>
                <w:color w:val="000000"/>
                <w:sz w:val="20"/>
                <w:szCs w:val="20"/>
              </w:rPr>
              <w:t>N/A if research is subject to Pre-2018 Requirements)</w:t>
            </w:r>
            <w:r w:rsidR="00135527">
              <w:rPr>
                <w:rFonts w:ascii="Arial Narrow" w:eastAsia="Arial Narrow" w:hAnsi="Arial Narrow" w:cs="Arial Narrow"/>
                <w:b/>
                <w:color w:val="000000"/>
                <w:sz w:val="20"/>
                <w:szCs w:val="20"/>
              </w:rPr>
              <w:t xml:space="preserve"> N/A: </w:t>
            </w:r>
            <w:r w:rsidR="00135527">
              <w:rPr>
                <w:rFonts w:ascii="MS Gothic" w:eastAsia="MS Gothic" w:hAnsi="MS Gothic" w:cs="MS Gothic"/>
                <w:b/>
                <w:color w:val="000000"/>
                <w:sz w:val="20"/>
                <w:szCs w:val="20"/>
              </w:rPr>
              <w:t>☐</w:t>
            </w:r>
          </w:p>
          <w:p w14:paraId="7307701C" w14:textId="5BBAC691"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 statement regarding whether clinically relevant research results, including individual research results, will be disclosed to subjects, and if so, under what conditions. (</w:t>
            </w:r>
            <w:r>
              <w:rPr>
                <w:rFonts w:ascii="Arial Narrow" w:eastAsia="Arial Narrow" w:hAnsi="Arial Narrow" w:cs="Arial Narrow"/>
                <w:b/>
                <w:color w:val="000000"/>
                <w:sz w:val="20"/>
                <w:szCs w:val="20"/>
              </w:rPr>
              <w:t>N/A if research is subject to Pre-2018 Requirements)</w:t>
            </w:r>
            <w:r w:rsidR="00135527">
              <w:rPr>
                <w:rFonts w:ascii="Arial Narrow" w:eastAsia="Arial Narrow" w:hAnsi="Arial Narrow" w:cs="Arial Narrow"/>
                <w:b/>
                <w:color w:val="000000"/>
                <w:sz w:val="20"/>
                <w:szCs w:val="20"/>
              </w:rPr>
              <w:t xml:space="preserve"> N/A: </w:t>
            </w:r>
            <w:r w:rsidR="00135527">
              <w:rPr>
                <w:rFonts w:ascii="MS Gothic" w:eastAsia="MS Gothic" w:hAnsi="MS Gothic" w:cs="MS Gothic"/>
                <w:b/>
                <w:color w:val="000000"/>
                <w:sz w:val="20"/>
                <w:szCs w:val="20"/>
              </w:rPr>
              <w:t>☐</w:t>
            </w:r>
          </w:p>
          <w:p w14:paraId="7F64DB07" w14:textId="20CB72F3" w:rsidR="000674DE" w:rsidRDefault="003F2952">
            <w:pPr>
              <w:pBdr>
                <w:top w:val="nil"/>
                <w:left w:val="nil"/>
                <w:bottom w:val="nil"/>
                <w:right w:val="nil"/>
                <w:between w:val="nil"/>
              </w:pBdr>
              <w:ind w:left="360" w:hanging="360"/>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For research involving biospecimens, whether the research will (if known) or might include whole genome sequencing (</w:t>
            </w:r>
            <w:r>
              <w:rPr>
                <w:rFonts w:ascii="Arial Narrow" w:eastAsia="Arial Narrow" w:hAnsi="Arial Narrow" w:cs="Arial Narrow"/>
                <w:i/>
                <w:color w:val="000000"/>
                <w:sz w:val="20"/>
                <w:szCs w:val="20"/>
              </w:rPr>
              <w:t xml:space="preserve">i.e., </w:t>
            </w:r>
            <w:r>
              <w:rPr>
                <w:rFonts w:ascii="Arial Narrow" w:eastAsia="Arial Narrow" w:hAnsi="Arial Narrow" w:cs="Arial Narrow"/>
                <w:color w:val="000000"/>
                <w:sz w:val="20"/>
                <w:szCs w:val="20"/>
              </w:rPr>
              <w:t>sequencing of a human germline or somatic specimen with the intent to generate the genome or exome sequence of that specimen). (</w:t>
            </w:r>
            <w:r>
              <w:rPr>
                <w:rFonts w:ascii="Arial Narrow" w:eastAsia="Arial Narrow" w:hAnsi="Arial Narrow" w:cs="Arial Narrow"/>
                <w:b/>
                <w:color w:val="000000"/>
                <w:sz w:val="20"/>
                <w:szCs w:val="20"/>
              </w:rPr>
              <w:t>N/A if research is subject to Pre-2018 Requirements)</w:t>
            </w:r>
            <w:r w:rsidR="00135527">
              <w:rPr>
                <w:rFonts w:ascii="Arial Narrow" w:eastAsia="Arial Narrow" w:hAnsi="Arial Narrow" w:cs="Arial Narrow"/>
                <w:b/>
                <w:color w:val="000000"/>
                <w:sz w:val="20"/>
                <w:szCs w:val="20"/>
              </w:rPr>
              <w:t xml:space="preserve"> N/A: </w:t>
            </w:r>
            <w:r w:rsidR="00135527">
              <w:rPr>
                <w:rFonts w:ascii="MS Gothic" w:eastAsia="MS Gothic" w:hAnsi="MS Gothic" w:cs="MS Gothic"/>
                <w:b/>
                <w:color w:val="000000"/>
                <w:sz w:val="20"/>
                <w:szCs w:val="20"/>
              </w:rPr>
              <w:t>☐</w:t>
            </w:r>
          </w:p>
          <w:p w14:paraId="5B339B4B" w14:textId="77777777" w:rsidR="000674DE" w:rsidRDefault="003F2952">
            <w:pPr>
              <w:pBdr>
                <w:top w:val="nil"/>
                <w:left w:val="nil"/>
                <w:bottom w:val="nil"/>
                <w:right w:val="nil"/>
                <w:between w:val="nil"/>
              </w:pBdr>
              <w:ind w:left="360" w:hanging="360"/>
              <w:rPr>
                <w:rFonts w:ascii="Arial Narrow" w:eastAsia="Arial Narrow" w:hAnsi="Arial Narrow" w:cs="Arial Narrow"/>
                <w:color w:val="000000"/>
                <w:sz w:val="18"/>
                <w:szCs w:val="18"/>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Any additional information which should be given to subjects when in the IRB’s judgement the information would meaningfully add to the protection of the rights and welfare of subjects.</w:t>
            </w:r>
            <w:r>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8"/>
                <w:szCs w:val="18"/>
                <w:vertAlign w:val="superscript"/>
              </w:rPr>
              <w:footnoteReference w:id="8"/>
            </w:r>
          </w:p>
          <w:p w14:paraId="65D980E8" w14:textId="77777777" w:rsidR="000674DE" w:rsidRDefault="000674DE">
            <w:pPr>
              <w:pBdr>
                <w:top w:val="nil"/>
                <w:left w:val="nil"/>
                <w:bottom w:val="nil"/>
                <w:right w:val="nil"/>
                <w:between w:val="nil"/>
              </w:pBdr>
              <w:ind w:left="360" w:hanging="360"/>
              <w:rPr>
                <w:rFonts w:ascii="Arial Narrow" w:eastAsia="Arial Narrow" w:hAnsi="Arial Narrow" w:cs="Arial Narrow"/>
                <w:color w:val="000000"/>
                <w:sz w:val="20"/>
                <w:szCs w:val="20"/>
              </w:rPr>
            </w:pPr>
          </w:p>
        </w:tc>
      </w:tr>
      <w:tr w:rsidR="000674DE" w14:paraId="7407929E" w14:textId="77777777" w:rsidTr="002803F7">
        <w:trPr>
          <w:trHeight w:val="60"/>
        </w:trPr>
        <w:tc>
          <w:tcPr>
            <w:tcW w:w="10748" w:type="dxa"/>
            <w:gridSpan w:val="7"/>
            <w:tcBorders>
              <w:bottom w:val="single" w:sz="4" w:space="0" w:color="000000"/>
            </w:tcBorders>
            <w:shd w:val="clear" w:color="auto" w:fill="000000"/>
          </w:tcPr>
          <w:p w14:paraId="1CC60702" w14:textId="77777777" w:rsidR="000674DE" w:rsidRDefault="003F2952">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lastRenderedPageBreak/>
              <w:t>☒</w:t>
            </w:r>
          </w:p>
        </w:tc>
      </w:tr>
      <w:tr w:rsidR="000674DE" w14:paraId="068D2FF5" w14:textId="77777777" w:rsidTr="002803F7">
        <w:trPr>
          <w:gridAfter w:val="1"/>
          <w:wAfter w:w="26" w:type="dxa"/>
        </w:trPr>
        <w:tc>
          <w:tcPr>
            <w:tcW w:w="10723" w:type="dxa"/>
            <w:gridSpan w:val="6"/>
            <w:tcBorders>
              <w:top w:val="nil"/>
              <w:left w:val="single" w:sz="4" w:space="0" w:color="000000"/>
              <w:bottom w:val="single" w:sz="4" w:space="0" w:color="000000"/>
              <w:right w:val="single" w:sz="4" w:space="0" w:color="000000"/>
            </w:tcBorders>
          </w:tcPr>
          <w:p w14:paraId="6190AEC2" w14:textId="57B3CACB" w:rsidR="000674DE" w:rsidRDefault="003F2952">
            <w:pPr>
              <w:numPr>
                <w:ilvl w:val="0"/>
                <w:numId w:val="2"/>
              </w:numPr>
              <w:tabs>
                <w:tab w:val="left" w:pos="360"/>
              </w:tabs>
              <w:rPr>
                <w:b/>
                <w:sz w:val="20"/>
                <w:szCs w:val="20"/>
              </w:rPr>
            </w:pPr>
            <w:r>
              <w:rPr>
                <w:rFonts w:ascii="Arial Narrow" w:eastAsia="Arial Narrow" w:hAnsi="Arial Narrow" w:cs="Arial Narrow"/>
                <w:b/>
                <w:sz w:val="20"/>
                <w:szCs w:val="20"/>
              </w:rPr>
              <w:t xml:space="preserve">Additional Considerations for Electronic Consent (Check if “Yes” or “N/A”. All </w:t>
            </w:r>
            <w:r w:rsidR="00C94794">
              <w:rPr>
                <w:rFonts w:ascii="Arial Narrow" w:eastAsia="Arial Narrow" w:hAnsi="Arial Narrow" w:cs="Arial Narrow"/>
                <w:b/>
                <w:sz w:val="20"/>
                <w:szCs w:val="20"/>
              </w:rPr>
              <w:t xml:space="preserve">items </w:t>
            </w:r>
            <w:r>
              <w:rPr>
                <w:rFonts w:ascii="Arial Narrow" w:eastAsia="Arial Narrow" w:hAnsi="Arial Narrow" w:cs="Arial Narrow"/>
                <w:b/>
                <w:sz w:val="20"/>
                <w:szCs w:val="20"/>
              </w:rPr>
              <w:t>must be checked</w:t>
            </w:r>
            <w:r w:rsidR="00135527">
              <w:rPr>
                <w:rFonts w:ascii="Arial Narrow" w:eastAsia="Arial Narrow" w:hAnsi="Arial Narrow" w:cs="Arial Narrow"/>
                <w:b/>
                <w:sz w:val="20"/>
                <w:szCs w:val="20"/>
              </w:rPr>
              <w:t>.</w:t>
            </w:r>
            <w:r>
              <w:rPr>
                <w:rFonts w:ascii="Arial Narrow" w:eastAsia="Arial Narrow" w:hAnsi="Arial Narrow" w:cs="Arial Narrow"/>
                <w:b/>
                <w:sz w:val="20"/>
                <w:szCs w:val="20"/>
              </w:rPr>
              <w:t>)</w:t>
            </w:r>
          </w:p>
        </w:tc>
      </w:tr>
      <w:tr w:rsidR="000674DE" w14:paraId="26C2342A"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7175778F"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42789393" w14:textId="3982B96F" w:rsidR="000674DE" w:rsidRDefault="003F2952">
            <w:pPr>
              <w:rPr>
                <w:rFonts w:ascii="Arial Narrow" w:eastAsia="Arial Narrow" w:hAnsi="Arial Narrow" w:cs="Arial Narrow"/>
                <w:b/>
                <w:sz w:val="20"/>
                <w:szCs w:val="20"/>
              </w:rPr>
            </w:pPr>
            <w:r>
              <w:rPr>
                <w:rFonts w:ascii="Arial Narrow" w:eastAsia="Arial Narrow" w:hAnsi="Arial Narrow" w:cs="Arial Narrow"/>
                <w:sz w:val="20"/>
                <w:szCs w:val="20"/>
              </w:rPr>
              <w:t xml:space="preserve">Electronic consent document includes all elements in </w:t>
            </w:r>
            <w:r>
              <w:rPr>
                <w:rFonts w:ascii="Arial Narrow" w:eastAsia="Arial Narrow" w:hAnsi="Arial Narrow" w:cs="Arial Narrow"/>
                <w:b/>
                <w:sz w:val="20"/>
                <w:szCs w:val="20"/>
              </w:rPr>
              <w:t>Section 7-Elements of Consent Disclosure</w:t>
            </w:r>
            <w:r w:rsidR="00135527">
              <w:rPr>
                <w:rFonts w:ascii="Arial Narrow" w:eastAsia="Arial Narrow" w:hAnsi="Arial Narrow" w:cs="Arial Narrow"/>
                <w:b/>
                <w:sz w:val="20"/>
                <w:szCs w:val="20"/>
              </w:rPr>
              <w:t>.</w:t>
            </w:r>
          </w:p>
        </w:tc>
      </w:tr>
      <w:tr w:rsidR="000674DE" w14:paraId="7660C46C"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0357E6DC"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5E4030DB" w14:textId="066C00DC"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The date of the electronic signature will be captured</w:t>
            </w:r>
            <w:r w:rsidR="00135527">
              <w:rPr>
                <w:rFonts w:ascii="Arial Narrow" w:eastAsia="Arial Narrow" w:hAnsi="Arial Narrow" w:cs="Arial Narrow"/>
                <w:sz w:val="20"/>
                <w:szCs w:val="20"/>
              </w:rPr>
              <w:t>.</w:t>
            </w:r>
          </w:p>
          <w:p w14:paraId="5F9F1E78" w14:textId="07DE855F" w:rsidR="000674DE" w:rsidRDefault="003F2952" w:rsidP="00135527">
            <w:pPr>
              <w:ind w:left="360" w:hanging="360"/>
              <w:rPr>
                <w:rFonts w:ascii="Arial Narrow" w:eastAsia="Arial Narrow" w:hAnsi="Arial Narrow" w:cs="Arial Narrow"/>
                <w:sz w:val="20"/>
                <w:szCs w:val="20"/>
              </w:rPr>
            </w:pPr>
            <w:r>
              <w:rPr>
                <w:rFonts w:ascii="Arial Narrow" w:eastAsia="Arial Narrow" w:hAnsi="Arial Narrow" w:cs="Arial Narrow"/>
                <w:b/>
                <w:sz w:val="20"/>
                <w:szCs w:val="20"/>
              </w:rPr>
              <w:t>(N/A if waiver of documentation of consent is requested and justified</w:t>
            </w:r>
            <w:r w:rsidR="00135527">
              <w:rPr>
                <w:rFonts w:ascii="Arial Narrow" w:eastAsia="Arial Narrow" w:hAnsi="Arial Narrow" w:cs="Arial Narrow"/>
                <w:b/>
                <w:sz w:val="20"/>
                <w:szCs w:val="20"/>
              </w:rPr>
              <w:t>)</w:t>
            </w:r>
            <w:r>
              <w:rPr>
                <w:rFonts w:ascii="Arial Narrow" w:eastAsia="Arial Narrow" w:hAnsi="Arial Narrow" w:cs="Arial Narrow"/>
                <w:b/>
                <w:sz w:val="20"/>
                <w:szCs w:val="20"/>
              </w:rPr>
              <w:t xml:space="preserve"> </w:t>
            </w:r>
            <w:r w:rsidR="00135527">
              <w:rPr>
                <w:rFonts w:ascii="Arial Narrow" w:eastAsia="Arial Narrow" w:hAnsi="Arial Narrow" w:cs="Arial Narrow"/>
                <w:b/>
                <w:color w:val="000000"/>
                <w:sz w:val="20"/>
                <w:szCs w:val="20"/>
              </w:rPr>
              <w:t xml:space="preserve">N/A: </w:t>
            </w:r>
            <w:r w:rsidR="00135527">
              <w:rPr>
                <w:rFonts w:ascii="MS Gothic" w:eastAsia="MS Gothic" w:hAnsi="MS Gothic" w:cs="MS Gothic"/>
                <w:b/>
                <w:color w:val="000000"/>
                <w:sz w:val="20"/>
                <w:szCs w:val="20"/>
              </w:rPr>
              <w:t>☐</w:t>
            </w:r>
          </w:p>
        </w:tc>
      </w:tr>
      <w:tr w:rsidR="000674DE" w14:paraId="74C7F4EA"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795C5379"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65FB4D0E"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Questions or methods to gauge subject comprehension of key study elements are clearly defined in the informed consent procedures.</w:t>
            </w:r>
          </w:p>
        </w:tc>
      </w:tr>
      <w:tr w:rsidR="000674DE" w14:paraId="6A88574D"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360BA540"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77CF65FB"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Electronic consent process includes age appropriate materials to facilitate comprehension.</w:t>
            </w:r>
          </w:p>
        </w:tc>
      </w:tr>
      <w:tr w:rsidR="000674DE" w14:paraId="0CB33773"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0B8A0E66"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4A572856"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Electronic consent process is suitable to the study population or procedures are outlined to accommodate subject’s needs.</w:t>
            </w:r>
          </w:p>
        </w:tc>
      </w:tr>
      <w:tr w:rsidR="000674DE" w14:paraId="37B3F81C"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5262DFD6"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36320343" w14:textId="77777777" w:rsidR="000674DE" w:rsidRDefault="003F2952">
            <w:pPr>
              <w:ind w:left="360" w:hanging="360"/>
              <w:rPr>
                <w:rFonts w:ascii="Arial Narrow" w:eastAsia="Arial Narrow" w:hAnsi="Arial Narrow" w:cs="Arial Narrow"/>
                <w:b/>
                <w:sz w:val="20"/>
                <w:szCs w:val="20"/>
              </w:rPr>
            </w:pPr>
            <w:r>
              <w:rPr>
                <w:rFonts w:ascii="Arial Narrow" w:eastAsia="Arial Narrow" w:hAnsi="Arial Narrow" w:cs="Arial Narrow"/>
                <w:sz w:val="20"/>
                <w:szCs w:val="20"/>
              </w:rPr>
              <w:t>Electronic consent document/process allows subjects to proceed forward or backward or pause for review later.</w:t>
            </w:r>
          </w:p>
        </w:tc>
      </w:tr>
      <w:tr w:rsidR="000674DE" w14:paraId="41516320"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0E420AB0"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16A0C47A"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 xml:space="preserve">Measures are present to ensure that subjects have access to all of the consent related materials, including hyperlinks or other external </w:t>
            </w:r>
          </w:p>
          <w:p w14:paraId="309E3B30"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documents.</w:t>
            </w:r>
          </w:p>
        </w:tc>
      </w:tr>
      <w:tr w:rsidR="000674DE" w14:paraId="5047BEA4"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6A548F6D"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65B44854" w14:textId="4DC38FE9" w:rsidR="000674DE" w:rsidRDefault="003F2952" w:rsidP="0049654B">
            <w:pPr>
              <w:rPr>
                <w:rFonts w:ascii="Arial Narrow" w:eastAsia="Arial Narrow" w:hAnsi="Arial Narrow" w:cs="Arial Narrow"/>
                <w:sz w:val="20"/>
                <w:szCs w:val="20"/>
              </w:rPr>
            </w:pPr>
            <w:r>
              <w:rPr>
                <w:rFonts w:ascii="Arial Narrow" w:eastAsia="Arial Narrow" w:hAnsi="Arial Narrow" w:cs="Arial Narrow"/>
                <w:sz w:val="20"/>
                <w:szCs w:val="20"/>
              </w:rPr>
              <w:t xml:space="preserve">Plans are adequate to maintain external hyperlinks </w:t>
            </w:r>
            <w:r w:rsidR="0049654B">
              <w:rPr>
                <w:rFonts w:ascii="Arial Narrow" w:eastAsia="Arial Narrow" w:hAnsi="Arial Narrow" w:cs="Arial Narrow"/>
                <w:sz w:val="20"/>
                <w:szCs w:val="20"/>
              </w:rPr>
              <w:t xml:space="preserve">to </w:t>
            </w:r>
            <w:r>
              <w:rPr>
                <w:rFonts w:ascii="Arial Narrow" w:eastAsia="Arial Narrow" w:hAnsi="Arial Narrow" w:cs="Arial Narrow"/>
                <w:sz w:val="20"/>
                <w:szCs w:val="20"/>
              </w:rPr>
              <w:t>documents and subject access to these documents throughout the lifespan of the study.</w:t>
            </w:r>
          </w:p>
        </w:tc>
      </w:tr>
      <w:tr w:rsidR="000674DE" w14:paraId="42EF64FE"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6B698AA5"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4AF8B974" w14:textId="77777777" w:rsidR="000674DE" w:rsidRDefault="003F2952">
            <w:pPr>
              <w:ind w:left="360" w:hanging="360"/>
              <w:rPr>
                <w:rFonts w:ascii="Arial Narrow" w:eastAsia="Arial Narrow" w:hAnsi="Arial Narrow" w:cs="Arial Narrow"/>
                <w:b/>
                <w:sz w:val="20"/>
                <w:szCs w:val="20"/>
              </w:rPr>
            </w:pPr>
            <w:r>
              <w:rPr>
                <w:rFonts w:ascii="Arial Narrow" w:eastAsia="Arial Narrow" w:hAnsi="Arial Narrow" w:cs="Arial Narrow"/>
                <w:sz w:val="20"/>
                <w:szCs w:val="20"/>
              </w:rPr>
              <w:t>The informed consent process outlines in detail how any included documents will be utilized.</w:t>
            </w:r>
          </w:p>
        </w:tc>
      </w:tr>
      <w:tr w:rsidR="000674DE" w14:paraId="084D6823"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7502338B"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70806270" w14:textId="77777777" w:rsidR="000674DE" w:rsidRDefault="003F2952">
            <w:pPr>
              <w:ind w:left="1" w:hanging="1"/>
              <w:rPr>
                <w:rFonts w:ascii="Arial Narrow" w:eastAsia="Arial Narrow" w:hAnsi="Arial Narrow" w:cs="Arial Narrow"/>
                <w:sz w:val="20"/>
                <w:szCs w:val="20"/>
              </w:rPr>
            </w:pPr>
            <w:r>
              <w:rPr>
                <w:rFonts w:ascii="Arial Narrow" w:eastAsia="Arial Narrow" w:hAnsi="Arial Narrow" w:cs="Arial Narrow"/>
                <w:sz w:val="20"/>
                <w:szCs w:val="20"/>
              </w:rPr>
              <w:t>Measures are present to ensure that the identity of the signer and the integrity of the data can be verified when consent is not witnessed by the study team.</w:t>
            </w:r>
          </w:p>
        </w:tc>
      </w:tr>
      <w:tr w:rsidR="000674DE" w14:paraId="0C12FAE0" w14:textId="77777777" w:rsidTr="002803F7">
        <w:trPr>
          <w:gridAfter w:val="1"/>
          <w:wAfter w:w="26" w:type="dxa"/>
        </w:trPr>
        <w:tc>
          <w:tcPr>
            <w:tcW w:w="679" w:type="dxa"/>
            <w:gridSpan w:val="2"/>
            <w:tcBorders>
              <w:top w:val="nil"/>
              <w:left w:val="single" w:sz="4" w:space="0" w:color="000000"/>
              <w:bottom w:val="single" w:sz="4" w:space="0" w:color="000000"/>
              <w:right w:val="single" w:sz="4" w:space="0" w:color="000000"/>
            </w:tcBorders>
          </w:tcPr>
          <w:p w14:paraId="1CA0CD86" w14:textId="77777777" w:rsidR="000674DE" w:rsidRDefault="003F2952">
            <w:pPr>
              <w:tabs>
                <w:tab w:val="left" w:pos="720"/>
              </w:tabs>
              <w:rPr>
                <w:rFonts w:ascii="Arial Narrow" w:eastAsia="Arial Narrow" w:hAnsi="Arial Narrow" w:cs="Arial Narrow"/>
                <w:sz w:val="20"/>
                <w:szCs w:val="20"/>
              </w:rPr>
            </w:pPr>
            <w:r>
              <w:rPr>
                <w:rFonts w:ascii="Arial Narrow" w:eastAsia="Arial Narrow" w:hAnsi="Arial Narrow" w:cs="Arial Narrow"/>
                <w:sz w:val="20"/>
                <w:szCs w:val="20"/>
              </w:rPr>
              <w:t>☐</w:t>
            </w:r>
          </w:p>
        </w:tc>
        <w:tc>
          <w:tcPr>
            <w:tcW w:w="10044" w:type="dxa"/>
            <w:gridSpan w:val="4"/>
            <w:tcBorders>
              <w:top w:val="nil"/>
              <w:left w:val="single" w:sz="4" w:space="0" w:color="000000"/>
              <w:bottom w:val="single" w:sz="4" w:space="0" w:color="000000"/>
              <w:right w:val="single" w:sz="4" w:space="0" w:color="000000"/>
            </w:tcBorders>
          </w:tcPr>
          <w:p w14:paraId="5FF95A1B" w14:textId="77777777"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sz w:val="20"/>
                <w:szCs w:val="20"/>
              </w:rPr>
              <w:t xml:space="preserve">For FDA-Regulated Clinical Trials including </w:t>
            </w:r>
            <w:r w:rsidR="002803F7">
              <w:rPr>
                <w:rFonts w:ascii="Arial Narrow" w:eastAsia="Arial Narrow" w:hAnsi="Arial Narrow" w:cs="Arial Narrow"/>
                <w:sz w:val="20"/>
                <w:szCs w:val="20"/>
              </w:rPr>
              <w:t>minors</w:t>
            </w:r>
            <w:r>
              <w:rPr>
                <w:rFonts w:ascii="Arial Narrow" w:eastAsia="Arial Narrow" w:hAnsi="Arial Narrow" w:cs="Arial Narrow"/>
                <w:sz w:val="20"/>
                <w:szCs w:val="20"/>
              </w:rPr>
              <w:t xml:space="preserve"> as research subjects, if the parent or guardian initially documents the </w:t>
            </w:r>
            <w:r w:rsidR="002803F7">
              <w:rPr>
                <w:rFonts w:ascii="Arial Narrow" w:eastAsia="Arial Narrow" w:hAnsi="Arial Narrow" w:cs="Arial Narrow"/>
                <w:sz w:val="20"/>
                <w:szCs w:val="20"/>
              </w:rPr>
              <w:t>minor</w:t>
            </w:r>
            <w:r>
              <w:rPr>
                <w:rFonts w:ascii="Arial Narrow" w:eastAsia="Arial Narrow" w:hAnsi="Arial Narrow" w:cs="Arial Narrow"/>
                <w:sz w:val="20"/>
                <w:szCs w:val="20"/>
              </w:rPr>
              <w:t xml:space="preserve">’s assent, procedures are in place to verify the </w:t>
            </w:r>
            <w:r w:rsidR="002803F7">
              <w:rPr>
                <w:rFonts w:ascii="Arial Narrow" w:eastAsia="Arial Narrow" w:hAnsi="Arial Narrow" w:cs="Arial Narrow"/>
                <w:sz w:val="20"/>
                <w:szCs w:val="20"/>
              </w:rPr>
              <w:t>minor</w:t>
            </w:r>
            <w:r>
              <w:rPr>
                <w:rFonts w:ascii="Arial Narrow" w:eastAsia="Arial Narrow" w:hAnsi="Arial Narrow" w:cs="Arial Narrow"/>
                <w:sz w:val="20"/>
                <w:szCs w:val="20"/>
              </w:rPr>
              <w:t xml:space="preserve">’s identity and assent when the </w:t>
            </w:r>
            <w:r w:rsidR="002803F7">
              <w:rPr>
                <w:rFonts w:ascii="Arial Narrow" w:eastAsia="Arial Narrow" w:hAnsi="Arial Narrow" w:cs="Arial Narrow"/>
                <w:sz w:val="20"/>
                <w:szCs w:val="20"/>
              </w:rPr>
              <w:t>minor</w:t>
            </w:r>
            <w:r>
              <w:rPr>
                <w:rFonts w:ascii="Arial Narrow" w:eastAsia="Arial Narrow" w:hAnsi="Arial Narrow" w:cs="Arial Narrow"/>
                <w:sz w:val="20"/>
                <w:szCs w:val="20"/>
              </w:rPr>
              <w:t xml:space="preserve"> initially presents to the investigator. </w:t>
            </w:r>
          </w:p>
          <w:p w14:paraId="7C02A222" w14:textId="02958C1A" w:rsidR="000674DE" w:rsidRDefault="003F2952">
            <w:pPr>
              <w:ind w:left="360" w:hanging="360"/>
              <w:rPr>
                <w:rFonts w:ascii="Arial Narrow" w:eastAsia="Arial Narrow" w:hAnsi="Arial Narrow" w:cs="Arial Narrow"/>
                <w:sz w:val="20"/>
                <w:szCs w:val="20"/>
              </w:rPr>
            </w:pPr>
            <w:r>
              <w:rPr>
                <w:rFonts w:ascii="Arial Narrow" w:eastAsia="Arial Narrow" w:hAnsi="Arial Narrow" w:cs="Arial Narrow"/>
                <w:b/>
                <w:sz w:val="20"/>
                <w:szCs w:val="20"/>
              </w:rPr>
              <w:t>(N/A if the research is not an FDA-Regulated Clinical Trial</w:t>
            </w:r>
            <w:r w:rsidR="00135527">
              <w:rPr>
                <w:rFonts w:ascii="Arial Narrow" w:eastAsia="Arial Narrow" w:hAnsi="Arial Narrow" w:cs="Arial Narrow"/>
                <w:b/>
                <w:sz w:val="20"/>
                <w:szCs w:val="20"/>
              </w:rPr>
              <w:t>)</w:t>
            </w:r>
            <w:r w:rsidR="0049654B">
              <w:rPr>
                <w:rFonts w:ascii="Arial Narrow" w:eastAsia="Arial Narrow" w:hAnsi="Arial Narrow" w:cs="Arial Narrow"/>
                <w:b/>
                <w:sz w:val="20"/>
                <w:szCs w:val="20"/>
              </w:rPr>
              <w:t xml:space="preserve"> </w:t>
            </w:r>
            <w:r w:rsidR="00135527">
              <w:rPr>
                <w:rFonts w:ascii="Arial Narrow" w:eastAsia="Arial Narrow" w:hAnsi="Arial Narrow" w:cs="Arial Narrow"/>
                <w:b/>
                <w:color w:val="000000"/>
                <w:sz w:val="20"/>
                <w:szCs w:val="20"/>
              </w:rPr>
              <w:t xml:space="preserve">N/A: </w:t>
            </w:r>
            <w:r w:rsidR="00135527">
              <w:rPr>
                <w:rFonts w:ascii="MS Gothic" w:eastAsia="MS Gothic" w:hAnsi="MS Gothic" w:cs="MS Gothic"/>
                <w:b/>
                <w:color w:val="000000"/>
                <w:sz w:val="20"/>
                <w:szCs w:val="20"/>
              </w:rPr>
              <w:t>☐</w:t>
            </w:r>
          </w:p>
        </w:tc>
      </w:tr>
    </w:tbl>
    <w:p w14:paraId="4F2F150D" w14:textId="77777777" w:rsidR="000674DE" w:rsidRDefault="000674DE">
      <w:pPr>
        <w:rPr>
          <w:sz w:val="2"/>
          <w:szCs w:val="2"/>
        </w:rPr>
      </w:pPr>
    </w:p>
    <w:sectPr w:rsidR="000674DE">
      <w:headerReference w:type="default" r:id="rId7"/>
      <w:footerReference w:type="default" r:id="rId8"/>
      <w:pgSz w:w="12240" w:h="15840"/>
      <w:pgMar w:top="720" w:right="720" w:bottom="432" w:left="720" w:header="540" w:footer="3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0387" w14:textId="77777777" w:rsidR="00614FAD" w:rsidRDefault="00614FAD">
      <w:r>
        <w:separator/>
      </w:r>
    </w:p>
  </w:endnote>
  <w:endnote w:type="continuationSeparator" w:id="0">
    <w:p w14:paraId="5A0F7C7C" w14:textId="77777777" w:rsidR="00614FAD" w:rsidRDefault="0061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F82E" w14:textId="77777777" w:rsidR="000674DE" w:rsidRDefault="003F2952">
    <w:pPr>
      <w:pBdr>
        <w:top w:val="nil"/>
        <w:left w:val="nil"/>
        <w:bottom w:val="nil"/>
        <w:right w:val="nil"/>
        <w:between w:val="nil"/>
      </w:pBdr>
      <w:tabs>
        <w:tab w:val="right" w:pos="9720"/>
        <w:tab w:val="right" w:pos="10620"/>
      </w:tabs>
      <w:jc w:val="center"/>
      <w:rPr>
        <w:rFonts w:ascii="Arial Black" w:eastAsia="Arial Black" w:hAnsi="Arial Black" w:cs="Arial Black"/>
        <w:color w:val="000000"/>
        <w:sz w:val="18"/>
        <w:szCs w:val="18"/>
      </w:rPr>
    </w:pPr>
    <w:bookmarkStart w:id="7" w:name="_3dy6vkm" w:colFirst="0" w:colLast="0"/>
    <w:bookmarkEnd w:id="7"/>
    <w:r>
      <w:rPr>
        <w:rFonts w:ascii="Arial Black" w:eastAsia="Arial Black" w:hAnsi="Arial Black" w:cs="Arial Black"/>
        <w:color w:val="000000"/>
        <w:sz w:val="18"/>
        <w:szCs w:val="18"/>
      </w:rPr>
      <w:t>Huron HRPP Toolkit 4.1</w:t>
    </w:r>
  </w:p>
  <w:p w14:paraId="20B0A9AC" w14:textId="77777777" w:rsidR="000674DE" w:rsidRDefault="003F2952">
    <w:pPr>
      <w:pBdr>
        <w:top w:val="nil"/>
        <w:left w:val="nil"/>
        <w:bottom w:val="nil"/>
        <w:right w:val="nil"/>
        <w:between w:val="nil"/>
      </w:pBdr>
      <w:tabs>
        <w:tab w:val="right" w:pos="9720"/>
        <w:tab w:val="right" w:pos="10620"/>
      </w:tabs>
      <w:jc w:val="center"/>
      <w:rPr>
        <w:rFonts w:ascii="Arial" w:eastAsia="Arial" w:hAnsi="Arial" w:cs="Arial"/>
        <w:color w:val="000000"/>
        <w:sz w:val="18"/>
        <w:szCs w:val="18"/>
      </w:rPr>
    </w:pPr>
    <w:r>
      <w:rPr>
        <w:rFonts w:ascii="Arial" w:eastAsia="Arial" w:hAnsi="Arial" w:cs="Arial"/>
        <w:color w:val="000000"/>
        <w:sz w:val="18"/>
        <w:szCs w:val="18"/>
      </w:rPr>
      <w:t>©2009-2018 Huron Consulting Services, LLC.</w:t>
    </w:r>
  </w:p>
  <w:p w14:paraId="3469DE5D" w14:textId="77777777" w:rsidR="000674DE" w:rsidRDefault="003F2952">
    <w:pPr>
      <w:pBdr>
        <w:top w:val="nil"/>
        <w:left w:val="nil"/>
        <w:bottom w:val="nil"/>
        <w:right w:val="nil"/>
        <w:between w:val="nil"/>
      </w:pBdr>
      <w:tabs>
        <w:tab w:val="right" w:pos="9720"/>
        <w:tab w:val="right" w:pos="10620"/>
      </w:tabs>
      <w:jc w:val="center"/>
      <w:rPr>
        <w:rFonts w:ascii="Arial" w:eastAsia="Arial" w:hAnsi="Arial" w:cs="Arial"/>
        <w:color w:val="000000"/>
        <w:sz w:val="18"/>
        <w:szCs w:val="18"/>
      </w:rPr>
    </w:pPr>
    <w:r>
      <w:rPr>
        <w:rFonts w:ascii="Arial" w:eastAsia="Arial" w:hAnsi="Arial" w:cs="Arial"/>
        <w:color w:val="000000"/>
        <w:sz w:val="18"/>
        <w:szCs w:val="18"/>
      </w:rPr>
      <w:t>Use subject to Huron’s HRPP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4EEE" w14:textId="77777777" w:rsidR="00614FAD" w:rsidRDefault="00614FAD">
      <w:r>
        <w:separator/>
      </w:r>
    </w:p>
  </w:footnote>
  <w:footnote w:type="continuationSeparator" w:id="0">
    <w:p w14:paraId="4A05271B" w14:textId="77777777" w:rsidR="00614FAD" w:rsidRDefault="00614FAD">
      <w:r>
        <w:continuationSeparator/>
      </w:r>
    </w:p>
  </w:footnote>
  <w:footnote w:id="1">
    <w:p w14:paraId="611DEF7E"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footnote>
  <w:footnote w:id="2">
    <w:p w14:paraId="5479AD08"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In making this assessment the IRB should </w:t>
      </w:r>
      <w:proofErr w:type="gramStart"/>
      <w:r>
        <w:rPr>
          <w:color w:val="000000"/>
          <w:sz w:val="20"/>
          <w:szCs w:val="20"/>
        </w:rPr>
        <w:t>take into account</w:t>
      </w:r>
      <w:proofErr w:type="gramEnd"/>
      <w:r>
        <w:rPr>
          <w:color w:val="000000"/>
          <w:sz w:val="20"/>
          <w:szCs w:val="20"/>
        </w:rPr>
        <w:t xml:space="preserve"> the purposes of the research and the setting in which the research will be conducted. The IRB should be particularly cognizant of the special problems of research that involves a category of subjects who are vulnerable to coercion or undue influence, such as </w:t>
      </w:r>
      <w:r w:rsidR="002803F7">
        <w:rPr>
          <w:color w:val="000000"/>
          <w:sz w:val="20"/>
          <w:szCs w:val="20"/>
        </w:rPr>
        <w:t>minors</w:t>
      </w:r>
      <w:r>
        <w:rPr>
          <w:color w:val="000000"/>
          <w:sz w:val="20"/>
          <w:szCs w:val="20"/>
        </w:rPr>
        <w:t>, prisoners, individuals with impaired decision-making capacity, or economically or educationally disadvantaged persons.</w:t>
      </w:r>
    </w:p>
  </w:footnote>
  <w:footnote w:id="3">
    <w:p w14:paraId="5AEFFA33"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p>
  </w:footnote>
  <w:footnote w:id="4">
    <w:p w14:paraId="435E5EC1"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When some or all of the subjects are likely to be vulnerable to coercion or undue influence, such as </w:t>
      </w:r>
      <w:r w:rsidR="002803F7">
        <w:rPr>
          <w:color w:val="000000"/>
          <w:sz w:val="20"/>
          <w:szCs w:val="20"/>
        </w:rPr>
        <w:t>minors</w:t>
      </w:r>
      <w:r>
        <w:rPr>
          <w:color w:val="000000"/>
          <w:sz w:val="20"/>
          <w:szCs w:val="20"/>
        </w:rPr>
        <w:t>, prisoners, individuals with impaired decision-making capacity, or economically or educationally disadvantaged persons, additional safeguards have been included in the study to protect the rights and welfare of these subjects.</w:t>
      </w:r>
    </w:p>
  </w:footnote>
  <w:footnote w:id="5">
    <w:p w14:paraId="1665DEFE"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Advertisements (HRP-315); Payments (HRP-316); Additional Federal Agency Criteria (HRP-318); Pregnant Women (HRP-412); Prisoners (HRP-415); </w:t>
      </w:r>
      <w:r w:rsidR="002803F7">
        <w:rPr>
          <w:color w:val="000000"/>
          <w:sz w:val="20"/>
          <w:szCs w:val="20"/>
        </w:rPr>
        <w:t>Minors</w:t>
      </w:r>
      <w:r>
        <w:rPr>
          <w:color w:val="000000"/>
          <w:sz w:val="20"/>
          <w:szCs w:val="20"/>
        </w:rPr>
        <w:t xml:space="preserve"> (HRP-416); Cognitively Impaired Adults (HRP-417); Non-Significant Risk Device (HRP-418)</w:t>
      </w:r>
    </w:p>
  </w:footnote>
  <w:footnote w:id="6">
    <w:p w14:paraId="5D2877AF"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Consider nature and level of risks; degree of uncertainty regarding the risks; subject vulnerability; investigator experience; IRB’s experience with investigator or sponsor; projected rate of enrollment; and whether study involves novel procedures.</w:t>
      </w:r>
    </w:p>
  </w:footnote>
  <w:footnote w:id="7">
    <w:p w14:paraId="7484645D" w14:textId="77777777" w:rsidR="000674DE" w:rsidRDefault="003F2952">
      <w:pPr>
        <w:pBdr>
          <w:top w:val="nil"/>
          <w:left w:val="nil"/>
          <w:bottom w:val="nil"/>
          <w:right w:val="nil"/>
          <w:between w:val="nil"/>
        </w:pBdr>
        <w:spacing w:before="120"/>
        <w:ind w:left="216" w:hanging="216"/>
        <w:rPr>
          <w:color w:val="000000"/>
          <w:sz w:val="20"/>
          <w:szCs w:val="20"/>
        </w:rPr>
      </w:pPr>
      <w:r>
        <w:rPr>
          <w:vertAlign w:val="superscript"/>
        </w:rPr>
        <w:footnoteRef/>
      </w:r>
      <w:r>
        <w:rPr>
          <w:color w:val="000000"/>
          <w:sz w:val="20"/>
          <w:szCs w:val="20"/>
        </w:rPr>
        <w:t xml:space="preserve"> Implement when the veracity of the information provided is questioned.</w:t>
      </w:r>
    </w:p>
  </w:footnote>
  <w:footnote w:id="8">
    <w:p w14:paraId="160B444A" w14:textId="77777777" w:rsidR="000674DE" w:rsidRDefault="003F2952">
      <w:pPr>
        <w:spacing w:before="120"/>
        <w:rPr>
          <w:sz w:val="20"/>
          <w:szCs w:val="20"/>
        </w:rPr>
      </w:pPr>
      <w:r>
        <w:rPr>
          <w:vertAlign w:val="superscript"/>
        </w:rPr>
        <w:footnoteRef/>
      </w:r>
      <w:r>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BF9C" w14:textId="77777777" w:rsidR="000674DE" w:rsidRDefault="000674DE">
    <w:pPr>
      <w:widowControl w:val="0"/>
      <w:pBdr>
        <w:top w:val="nil"/>
        <w:left w:val="nil"/>
        <w:bottom w:val="nil"/>
        <w:right w:val="nil"/>
        <w:between w:val="nil"/>
      </w:pBdr>
      <w:spacing w:line="276" w:lineRule="auto"/>
      <w:rPr>
        <w:sz w:val="20"/>
        <w:szCs w:val="20"/>
      </w:rPr>
    </w:pPr>
  </w:p>
  <w:tbl>
    <w:tblPr>
      <w:tblStyle w:val="a0"/>
      <w:tblW w:w="10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44"/>
      <w:gridCol w:w="2403"/>
      <w:gridCol w:w="2265"/>
      <w:gridCol w:w="2294"/>
    </w:tblGrid>
    <w:tr w:rsidR="000674DE" w14:paraId="2FE2517B" w14:textId="77777777">
      <w:trPr>
        <w:trHeight w:val="260"/>
      </w:trPr>
      <w:tc>
        <w:tcPr>
          <w:tcW w:w="3844" w:type="dxa"/>
          <w:vMerge w:val="restart"/>
          <w:tcBorders>
            <w:top w:val="nil"/>
            <w:left w:val="nil"/>
            <w:bottom w:val="nil"/>
            <w:right w:val="single" w:sz="4" w:space="0" w:color="000000"/>
          </w:tcBorders>
          <w:vAlign w:val="center"/>
        </w:tcPr>
        <w:p w14:paraId="17629C51" w14:textId="77777777" w:rsidR="000674DE" w:rsidRDefault="003F2952">
          <w:pPr>
            <w:rPr>
              <w:rFonts w:ascii="Arial" w:eastAsia="Arial" w:hAnsi="Arial" w:cs="Arial"/>
            </w:rPr>
          </w:pPr>
          <w:r>
            <w:rPr>
              <w:rFonts w:ascii="Arial" w:eastAsia="Arial" w:hAnsi="Arial" w:cs="Arial"/>
              <w:noProof/>
            </w:rPr>
            <w:drawing>
              <wp:inline distT="0" distB="0" distL="0" distR="0" wp14:anchorId="44CE44C8" wp14:editId="38319495">
                <wp:extent cx="1078992" cy="2164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8992" cy="216408"/>
                        </a:xfrm>
                        <a:prstGeom prst="rect">
                          <a:avLst/>
                        </a:prstGeom>
                        <a:ln/>
                      </pic:spPr>
                    </pic:pic>
                  </a:graphicData>
                </a:graphic>
              </wp:inline>
            </w:drawing>
          </w:r>
        </w:p>
      </w:tc>
      <w:tc>
        <w:tcPr>
          <w:tcW w:w="6962" w:type="dxa"/>
          <w:gridSpan w:val="3"/>
          <w:tcBorders>
            <w:top w:val="single" w:sz="4" w:space="0" w:color="000000"/>
            <w:left w:val="single" w:sz="4" w:space="0" w:color="000000"/>
            <w:bottom w:val="single" w:sz="4" w:space="0" w:color="000000"/>
            <w:right w:val="single" w:sz="4" w:space="0" w:color="000000"/>
          </w:tcBorders>
          <w:vAlign w:val="center"/>
        </w:tcPr>
        <w:p w14:paraId="3D137E55" w14:textId="77777777" w:rsidR="000674DE" w:rsidRDefault="003F2952">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t>WORKSHEET: Criteria for Approval</w:t>
          </w:r>
        </w:p>
      </w:tc>
    </w:tr>
    <w:tr w:rsidR="000674DE" w14:paraId="3F27B762" w14:textId="77777777">
      <w:trPr>
        <w:trHeight w:val="280"/>
      </w:trPr>
      <w:tc>
        <w:tcPr>
          <w:tcW w:w="3844" w:type="dxa"/>
          <w:vMerge/>
          <w:tcBorders>
            <w:top w:val="nil"/>
            <w:left w:val="nil"/>
            <w:bottom w:val="nil"/>
            <w:right w:val="single" w:sz="4" w:space="0" w:color="000000"/>
          </w:tcBorders>
          <w:vAlign w:val="center"/>
        </w:tcPr>
        <w:p w14:paraId="185CA3EB" w14:textId="77777777" w:rsidR="000674DE" w:rsidRDefault="000674DE">
          <w:pPr>
            <w:widowControl w:val="0"/>
            <w:pBdr>
              <w:top w:val="nil"/>
              <w:left w:val="nil"/>
              <w:bottom w:val="nil"/>
              <w:right w:val="nil"/>
              <w:between w:val="nil"/>
            </w:pBdr>
            <w:spacing w:line="276" w:lineRule="auto"/>
            <w:rPr>
              <w:rFonts w:ascii="Arial" w:eastAsia="Arial" w:hAnsi="Arial" w:cs="Arial"/>
              <w:color w:val="000000"/>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350925BE" w14:textId="77777777"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3AF9CCC8" w14:textId="77777777"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DATE</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1C31D792" w14:textId="77777777"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PAGE</w:t>
          </w:r>
        </w:p>
      </w:tc>
    </w:tr>
    <w:tr w:rsidR="000674DE" w14:paraId="58378709" w14:textId="77777777">
      <w:trPr>
        <w:trHeight w:val="280"/>
      </w:trPr>
      <w:tc>
        <w:tcPr>
          <w:tcW w:w="3844" w:type="dxa"/>
          <w:vMerge/>
          <w:tcBorders>
            <w:top w:val="nil"/>
            <w:left w:val="nil"/>
            <w:bottom w:val="nil"/>
            <w:right w:val="single" w:sz="4" w:space="0" w:color="000000"/>
          </w:tcBorders>
          <w:vAlign w:val="center"/>
        </w:tcPr>
        <w:p w14:paraId="71B2FF0B" w14:textId="77777777" w:rsidR="000674DE" w:rsidRDefault="000674DE">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7AEF3E08" w14:textId="77777777"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HRP-314</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472BAE9E" w14:textId="34A6EB16"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r w:rsidR="00C94794">
            <w:rPr>
              <w:rFonts w:ascii="Arial" w:eastAsia="Arial" w:hAnsi="Arial" w:cs="Arial"/>
              <w:color w:val="000000"/>
              <w:sz w:val="18"/>
              <w:szCs w:val="18"/>
            </w:rPr>
            <w:t>2</w:t>
          </w:r>
          <w:r>
            <w:rPr>
              <w:rFonts w:ascii="Arial" w:eastAsia="Arial" w:hAnsi="Arial" w:cs="Arial"/>
              <w:color w:val="000000"/>
              <w:sz w:val="18"/>
              <w:szCs w:val="18"/>
            </w:rPr>
            <w:t>5/2019</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71D6CB06" w14:textId="04049304" w:rsidR="000674DE" w:rsidRDefault="003F295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35527">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135527">
            <w:rPr>
              <w:rFonts w:ascii="Arial" w:eastAsia="Arial" w:hAnsi="Arial" w:cs="Arial"/>
              <w:noProof/>
              <w:color w:val="000000"/>
              <w:sz w:val="18"/>
              <w:szCs w:val="18"/>
            </w:rPr>
            <w:t>4</w:t>
          </w:r>
          <w:r>
            <w:rPr>
              <w:rFonts w:ascii="Arial" w:eastAsia="Arial" w:hAnsi="Arial" w:cs="Arial"/>
              <w:color w:val="000000"/>
              <w:sz w:val="18"/>
              <w:szCs w:val="18"/>
            </w:rPr>
            <w:fldChar w:fldCharType="end"/>
          </w:r>
        </w:p>
      </w:tc>
    </w:tr>
  </w:tbl>
  <w:p w14:paraId="654446CC" w14:textId="77777777" w:rsidR="000674DE" w:rsidRDefault="000674DE">
    <w:pPr>
      <w:pBdr>
        <w:top w:val="nil"/>
        <w:left w:val="nil"/>
        <w:bottom w:val="nil"/>
        <w:right w:val="nil"/>
        <w:between w:val="nil"/>
      </w:pBdr>
      <w:tabs>
        <w:tab w:val="center" w:pos="4320"/>
        <w:tab w:val="right" w:pos="8640"/>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634"/>
    <w:multiLevelType w:val="multilevel"/>
    <w:tmpl w:val="0D282DE2"/>
    <w:lvl w:ilvl="0">
      <w:start w:val="1"/>
      <w:numFmt w:val="decimal"/>
      <w:lvlText w:val="%1"/>
      <w:lvlJc w:val="left"/>
      <w:pPr>
        <w:ind w:left="720" w:hanging="720"/>
      </w:pPr>
      <w:rPr>
        <w:rFonts w:ascii="Arimo" w:eastAsia="Arimo" w:hAnsi="Arimo" w:cs="Arimo"/>
      </w:rPr>
    </w:lvl>
    <w:lvl w:ilvl="1">
      <w:start w:val="1"/>
      <w:numFmt w:val="decimal"/>
      <w:lvlText w:val="☐  %1.%2"/>
      <w:lvlJc w:val="left"/>
      <w:pPr>
        <w:ind w:left="1080" w:hanging="720"/>
      </w:pPr>
      <w:rPr>
        <w:rFonts w:ascii="Arimo" w:eastAsia="Arimo" w:hAnsi="Arimo" w:cs="Arimo"/>
      </w:rPr>
    </w:lvl>
    <w:lvl w:ilvl="2">
      <w:start w:val="1"/>
      <w:numFmt w:val="decimal"/>
      <w:lvlText w:val="☐    %1.%2.%3"/>
      <w:lvlJc w:val="left"/>
      <w:pPr>
        <w:ind w:left="2448" w:hanging="1008"/>
      </w:pPr>
      <w:rPr>
        <w:rFonts w:ascii="Arimo" w:eastAsia="Arimo" w:hAnsi="Arimo" w:cs="Arimo"/>
      </w:rPr>
    </w:lvl>
    <w:lvl w:ilvl="3">
      <w:start w:val="1"/>
      <w:numFmt w:val="decimal"/>
      <w:lvlText w:val="☐    %1.%2.%3.%4"/>
      <w:lvlJc w:val="left"/>
      <w:pPr>
        <w:ind w:left="3744" w:hanging="1296"/>
      </w:pPr>
      <w:rPr>
        <w:rFonts w:ascii="Arimo" w:eastAsia="Arimo" w:hAnsi="Arimo" w:cs="Arimo"/>
        <w:strike w:val="0"/>
        <w:color w:val="000000"/>
        <w:vertAlign w:val="baseline"/>
      </w:rPr>
    </w:lvl>
    <w:lvl w:ilvl="4">
      <w:start w:val="1"/>
      <w:numFmt w:val="decimal"/>
      <w:lvlText w:val="%1.%2.%3.%4.%5"/>
      <w:lvlJc w:val="left"/>
      <w:pPr>
        <w:ind w:left="5328" w:hanging="1584"/>
      </w:pPr>
    </w:lvl>
    <w:lvl w:ilvl="5">
      <w:start w:val="1"/>
      <w:numFmt w:val="decimal"/>
      <w:lvlText w:val="%1.%2.%3.%4.%5.%6"/>
      <w:lvlJc w:val="left"/>
      <w:pPr>
        <w:ind w:left="7200" w:hanging="187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9A561A3"/>
    <w:multiLevelType w:val="multilevel"/>
    <w:tmpl w:val="CA3A9F9A"/>
    <w:lvl w:ilvl="0">
      <w:start w:val="1"/>
      <w:numFmt w:val="decimal"/>
      <w:lvlText w:val="%1"/>
      <w:lvlJc w:val="left"/>
      <w:pPr>
        <w:ind w:left="720" w:hanging="720"/>
      </w:pPr>
      <w:rPr>
        <w:rFonts w:ascii="Arimo" w:eastAsia="Arimo" w:hAnsi="Arimo" w:cs="Arimo"/>
      </w:rPr>
    </w:lvl>
    <w:lvl w:ilvl="1">
      <w:start w:val="1"/>
      <w:numFmt w:val="decimal"/>
      <w:lvlText w:val="☐  %1.%2"/>
      <w:lvlJc w:val="left"/>
      <w:pPr>
        <w:ind w:left="1080" w:hanging="720"/>
      </w:pPr>
      <w:rPr>
        <w:rFonts w:ascii="Arimo" w:eastAsia="Arimo" w:hAnsi="Arimo" w:cs="Arimo"/>
      </w:rPr>
    </w:lvl>
    <w:lvl w:ilvl="2">
      <w:start w:val="1"/>
      <w:numFmt w:val="decimal"/>
      <w:lvlText w:val="☐    %1.%2.%3"/>
      <w:lvlJc w:val="left"/>
      <w:pPr>
        <w:ind w:left="2448" w:hanging="1008"/>
      </w:pPr>
      <w:rPr>
        <w:rFonts w:ascii="Arimo" w:eastAsia="Arimo" w:hAnsi="Arimo" w:cs="Arimo"/>
      </w:rPr>
    </w:lvl>
    <w:lvl w:ilvl="3">
      <w:start w:val="1"/>
      <w:numFmt w:val="decimal"/>
      <w:lvlText w:val="☐    %1.%2.%3.%4"/>
      <w:lvlJc w:val="left"/>
      <w:pPr>
        <w:ind w:left="3744" w:hanging="1296"/>
      </w:pPr>
      <w:rPr>
        <w:rFonts w:ascii="Arimo" w:eastAsia="Arimo" w:hAnsi="Arimo" w:cs="Arimo"/>
        <w:strike w:val="0"/>
        <w:color w:val="000000"/>
        <w:vertAlign w:val="baseline"/>
      </w:rPr>
    </w:lvl>
    <w:lvl w:ilvl="4">
      <w:start w:val="1"/>
      <w:numFmt w:val="decimal"/>
      <w:lvlText w:val="%1.%2.%3.%4.%5"/>
      <w:lvlJc w:val="left"/>
      <w:pPr>
        <w:ind w:left="5328" w:hanging="1584"/>
      </w:pPr>
    </w:lvl>
    <w:lvl w:ilvl="5">
      <w:start w:val="1"/>
      <w:numFmt w:val="decimal"/>
      <w:lvlText w:val="%1.%2.%3.%4.%5.%6"/>
      <w:lvlJc w:val="left"/>
      <w:pPr>
        <w:ind w:left="7200" w:hanging="187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DE"/>
    <w:rsid w:val="000674DE"/>
    <w:rsid w:val="00135527"/>
    <w:rsid w:val="001461DE"/>
    <w:rsid w:val="002803F7"/>
    <w:rsid w:val="002E6C98"/>
    <w:rsid w:val="003F2952"/>
    <w:rsid w:val="0049654B"/>
    <w:rsid w:val="00614FAD"/>
    <w:rsid w:val="006F77E0"/>
    <w:rsid w:val="00B1017F"/>
    <w:rsid w:val="00C94794"/>
    <w:rsid w:val="00D9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52C"/>
  <w15:docId w15:val="{3694C6F9-DDDF-4AB3-A7C6-4C0C00F1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77E0"/>
    <w:rPr>
      <w:b/>
      <w:bCs/>
    </w:rPr>
  </w:style>
  <w:style w:type="character" w:customStyle="1" w:styleId="CommentSubjectChar">
    <w:name w:val="Comment Subject Char"/>
    <w:basedOn w:val="CommentTextChar"/>
    <w:link w:val="CommentSubject"/>
    <w:uiPriority w:val="99"/>
    <w:semiHidden/>
    <w:rsid w:val="006F77E0"/>
    <w:rPr>
      <w:b/>
      <w:bCs/>
      <w:sz w:val="20"/>
      <w:szCs w:val="20"/>
    </w:rPr>
  </w:style>
  <w:style w:type="paragraph" w:styleId="Header">
    <w:name w:val="header"/>
    <w:basedOn w:val="Normal"/>
    <w:link w:val="HeaderChar"/>
    <w:uiPriority w:val="99"/>
    <w:unhideWhenUsed/>
    <w:rsid w:val="00C94794"/>
    <w:pPr>
      <w:tabs>
        <w:tab w:val="center" w:pos="4680"/>
        <w:tab w:val="right" w:pos="9360"/>
      </w:tabs>
    </w:pPr>
  </w:style>
  <w:style w:type="character" w:customStyle="1" w:styleId="HeaderChar">
    <w:name w:val="Header Char"/>
    <w:basedOn w:val="DefaultParagraphFont"/>
    <w:link w:val="Header"/>
    <w:uiPriority w:val="99"/>
    <w:rsid w:val="00C94794"/>
  </w:style>
  <w:style w:type="paragraph" w:styleId="Footer">
    <w:name w:val="footer"/>
    <w:basedOn w:val="Normal"/>
    <w:link w:val="FooterChar"/>
    <w:uiPriority w:val="99"/>
    <w:unhideWhenUsed/>
    <w:rsid w:val="00C94794"/>
    <w:pPr>
      <w:tabs>
        <w:tab w:val="center" w:pos="4680"/>
        <w:tab w:val="right" w:pos="9360"/>
      </w:tabs>
    </w:pPr>
  </w:style>
  <w:style w:type="character" w:customStyle="1" w:styleId="FooterChar">
    <w:name w:val="Footer Char"/>
    <w:basedOn w:val="DefaultParagraphFont"/>
    <w:link w:val="Footer"/>
    <w:uiPriority w:val="99"/>
    <w:rsid w:val="00C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Trelawney</dc:creator>
  <cp:lastModifiedBy>Mary Potter</cp:lastModifiedBy>
  <cp:revision>2</cp:revision>
  <dcterms:created xsi:type="dcterms:W3CDTF">2019-02-28T01:49:00Z</dcterms:created>
  <dcterms:modified xsi:type="dcterms:W3CDTF">2019-02-28T01:49:00Z</dcterms:modified>
</cp:coreProperties>
</file>